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0995-425_bleichroeder2.htm"/>
      <w:bookmarkStart w:id="1" w:name="ksea0300995425_bleichroeder2"/>
      <w:bookmarkEnd w:id="0"/>
      <w:bookmarkEnd w:id="1"/>
      <w:r>
        <w:rPr>
          <w:rFonts w:ascii="Times New Roman;Times;Serif" w:hAnsi="Times New Roman;Times;Serif"/>
          <w:b/>
          <w:i w:val="false"/>
          <w:caps w:val="false"/>
          <w:smallCaps w:val="false"/>
          <w:sz w:val="20"/>
        </w:rPr>
        <w:t>Filed by Bleichroeder Acquisition France Merger Sub 2 pursuant to Rule 425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deemed filed pursuant to Rule 14a-12</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Pasqal Holding SAS (File No. 333-296239-01)</w:t>
      </w:r>
    </w:p>
    <w:p>
      <w:pPr>
        <w:pStyle w:val="TextBody"/>
        <w:bidi w:val="0"/>
        <w:spacing w:before="0" w:after="0"/>
        <w:ind w:left="19" w:right="6543" w:hanging="0"/>
        <w:jc w:val="left"/>
        <w:rPr>
          <w:caps w:val="false"/>
          <w:smallCaps w:val="false"/>
        </w:rPr>
      </w:pPr>
      <w:r>
        <w:rPr>
          <w:caps w:val="false"/>
          <w:smallCaps w:val="false"/>
        </w:rPr>
        <w:t> </w:t>
      </w:r>
    </w:p>
    <w:p>
      <w:pPr>
        <w:pStyle w:val="TextBody"/>
        <w:bidi w:val="0"/>
        <w:spacing w:before="0" w:after="0"/>
        <w:ind w:left="19" w:right="6543" w:hanging="0"/>
        <w:jc w:val="left"/>
        <w:rPr>
          <w:caps w:val="false"/>
          <w:smallCaps w:val="false"/>
        </w:rPr>
      </w:pPr>
      <w:r>
        <w:rPr>
          <w:caps w:val="false"/>
          <w:smallCaps w:val="false"/>
        </w:rPr>
        <w:drawing>
          <wp:inline distT="0" distB="0" distL="0" distR="0">
            <wp:extent cx="2857500"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828675"/>
                    </a:xfrm>
                    <a:prstGeom prst="rect">
                      <a:avLst/>
                    </a:prstGeom>
                  </pic:spPr>
                </pic:pic>
              </a:graphicData>
            </a:graphic>
          </wp:inline>
        </w:drawing>
      </w:r>
      <w:r>
        <w:rPr>
          <w:caps w:val="false"/>
          <w:smallCaps w:val="false"/>
        </w:rPr>
        <w:t> </w:t>
      </w:r>
    </w:p>
    <w:p>
      <w:pPr>
        <w:pStyle w:val="TextBody"/>
        <w:bidi w:val="0"/>
        <w:spacing w:before="0" w:after="0"/>
        <w:ind w:left="19" w:right="6543" w:hanging="0"/>
        <w:jc w:val="left"/>
        <w:rPr>
          <w:caps w:val="false"/>
          <w:smallCaps w:val="false"/>
        </w:rPr>
      </w:pPr>
      <w:r>
        <w:rPr>
          <w:caps w:val="false"/>
          <w:smallCaps w:val="false"/>
        </w:rPr>
        <w:t> </w:t>
      </w:r>
    </w:p>
    <w:p>
      <w:pPr>
        <w:pStyle w:val="TextBody"/>
        <w:bidi w:val="0"/>
        <w:spacing w:before="0" w:after="0"/>
        <w:ind w:left="7848" w:right="7848"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 Pasqal Holding</w:t>
      </w:r>
    </w:p>
    <w:p>
      <w:pPr>
        <w:pStyle w:val="TextBody"/>
        <w:bidi w:val="0"/>
        <w:spacing w:before="0" w:after="0"/>
        <w:ind w:left="7848" w:right="7848" w:hanging="0"/>
        <w:jc w:val="left"/>
        <w:rPr>
          <w:caps w:val="false"/>
          <w:smallCaps w:val="false"/>
        </w:rPr>
      </w:pPr>
      <w:r>
        <w:rPr>
          <w:caps w:val="false"/>
          <w:smallCaps w:val="false"/>
        </w:rPr>
        <w:t> </w:t>
      </w:r>
    </w:p>
    <w:p>
      <w:pPr>
        <w:pStyle w:val="TextBody"/>
        <w:bidi w:val="0"/>
        <w:spacing w:before="0" w:after="0"/>
        <w:ind w:left="7848" w:right="7848"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SAS August 06, 2026 08:00 ET</w:t>
      </w:r>
    </w:p>
    <w:p>
      <w:pPr>
        <w:pStyle w:val="TextBody"/>
        <w:bidi w:val="0"/>
        <w:spacing w:before="0" w:after="0"/>
        <w:ind w:left="7848" w:right="7848"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Pasqal F-4 Declared Effective by SEC in Connection with Proposed Business Combination with Bleichroeder Acquisition Corp. II</w:t>
      </w:r>
    </w:p>
    <w:p>
      <w:pPr>
        <w:pStyle w:val="TextBody"/>
        <w:bidi w:val="0"/>
        <w:spacing w:before="0" w:after="0"/>
        <w:ind w:left="72" w:right="0" w:hanging="0"/>
        <w:jc w:val="left"/>
        <w:rPr>
          <w:caps w:val="false"/>
          <w:smallCaps w:val="false"/>
        </w:rPr>
      </w:pPr>
      <w:r>
        <w:rPr>
          <w:caps w:val="false"/>
          <w:smallCaps w:val="false"/>
        </w:rPr>
        <w:t> </w:t>
      </w:r>
    </w:p>
    <w:p>
      <w:pPr>
        <w:pStyle w:val="TextBody"/>
        <w:bidi w:val="0"/>
        <w:spacing w:before="0" w:after="0"/>
        <w:ind w:left="144" w:right="14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PARIS and NEW YORK , Aug. 06, 2026 (GLOBE NEWSWIRE) -- Pasqal Holding SAS (“Pasqal”), a global leader in neutral-atom quantum computing, today announced that its joint registration statement on Form F-4 (the “Registration Statement”) with Bleichroeder Acquisition Corp. II (Nasdaq: BBCQ) (“Bleichroeder”), filed with the U.S. Securities and Exchange Commission (the “SEC”) in connection with the proposed business combination between Pasqal and Bleichroeder, has been declared effective by the SEC on August 5, 2026. This milestone represents an important step toward completion of the previously announced business combination between Pasqal and Bleichroeder.</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432" w:right="432"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Bleichroeder has set a meeting date of August 25, 2026, for its extraordinary general meeting to approve the proposed business combination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Founded by leading quantum physicists, including Nobel Prize laureate Alain Aspect, Pasqal develops and deploys neutral-atom quantum computers and software for customers across the energy, financial services, materials science, defense, and research industries. As a leader in neutral-atom technology—recognized for its sca la bility, flexibility, and energy efficiency—Pasqal has established one of the world’s largest installed bases of high-complexity quantum computers among pure-play quantum computing companies. Pasqal’s systems operate in standard data-center environments and can be utilized through cloud or on-premises deployments.</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Since its first commercial deployment in 2022, Pasqal has focused on delivering quantum computing solutions that address real-world business challenges rather than theoretical demonstrations. Pasqal’s technology aims to help organizations explore new approaches to optimization, simulation and artificial intelligence problems that are difficult or impossible to solve with conventional computing methods alone.</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432" w:firstLine="72"/>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Since announcing the proposed business combination with Bleichroeder, Pasqal has continued to advance its technology and commercial leadership:</w:t>
      </w:r>
    </w:p>
    <w:p>
      <w:pPr>
        <w:pStyle w:val="TextBody"/>
        <w:bidi w:val="0"/>
        <w:spacing w:before="0" w:after="0"/>
        <w:ind w:left="0" w:right="432" w:firstLine="7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Demonstrated quantum advantage in materials simulation with Los Alamos National Laboratory, marking a significant milestone for the industry and helped establish rigorous standards for validating quantum performance on real-world scientific problems. Expanded its global deployment footprint with the launch of Italy’s first neutral-atom quantum computer at CI NECA, integrating a 140-qubit system with the Leonardo supercomputer as part of Europe’s growing hybrid HPC-quantum infrastructure.</w:t>
            </w:r>
          </w:p>
        </w:tc>
      </w:tr>
    </w:tbl>
    <w:p>
      <w:pPr>
        <w:pStyle w:val="TextBody"/>
        <w:bidi w:val="0"/>
        <w:spacing w:before="0" w:after="0"/>
        <w:ind w:left="0" w:right="648"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Strengthened its position in Asia through a strategic partnership with MegazoneCloud, aiming to bring Pasqal’s quantum technology to South Korea’s enterprise market across finance, logistics, biotechnology and manufacturing applications.</w:t>
            </w:r>
          </w:p>
        </w:tc>
      </w:tr>
    </w:tbl>
    <w:p>
      <w:pPr>
        <w:pStyle w:val="TextBody"/>
        <w:bidi w:val="0"/>
        <w:spacing w:before="0" w:after="0"/>
        <w:ind w:left="0" w:right="72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Advanced adoption in financial services through an expanded collaboration with Credit Agricole CIB, accelerating the development and deployment of quantum computing applications for capital markets and financial optimization.</w:t>
            </w:r>
          </w:p>
        </w:tc>
      </w:tr>
    </w:tbl>
    <w:p>
      <w:pPr>
        <w:pStyle w:val="TextBody"/>
        <w:bidi w:val="0"/>
        <w:spacing w:before="0" w:after="0"/>
        <w:ind w:left="0" w:right="144"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Continued commercial engagement with global industry leaders including Saudi Aramco, supporting the development of quantum-enabled solutions across energy, optimization and industrial research use cases.</w:t>
            </w:r>
          </w:p>
        </w:tc>
      </w:tr>
    </w:tbl>
    <w:p>
      <w:pPr>
        <w:pStyle w:val="TextBody"/>
        <w:bidi w:val="0"/>
        <w:spacing w:before="0" w:after="0"/>
        <w:ind w:left="0" w:right="0" w:firstLine="7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Entered a collaboration with True Nexus to apply quantum computing to next-generation food protein design, aiming to leverage Pasqal’s neutral-atom processors to model complex protein functionality and accelerate the development of sustainable food ingredients through a fully vectorized 3D protein gelation model.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Advanced its neutral-atom technology roadmap while maintaining leadership at scale, with systems exceeding 1,000 physical qubits and a long-term path toward more than 10,000 physical qubits and 200 logical qubits.</w:t>
            </w:r>
          </w:p>
        </w:tc>
      </w:tr>
    </w:tbl>
    <w:p>
      <w:pPr>
        <w:pStyle w:val="TextBody"/>
        <w:bidi w:val="0"/>
        <w:spacing w:before="0" w:after="0"/>
        <w:ind w:left="0" w:right="144" w:hanging="0"/>
        <w:jc w:val="left"/>
        <w:rPr>
          <w:caps w:val="false"/>
          <w:smallCaps w:val="false"/>
        </w:rPr>
      </w:pPr>
      <w:r>
        <w:rPr>
          <w:caps w:val="false"/>
          <w:smallCaps w:val="false"/>
        </w:rPr>
        <w:t> </w:t>
      </w:r>
    </w:p>
    <w:p>
      <w:pPr>
        <w:pStyle w:val="TextBody"/>
        <w:bidi w:val="0"/>
        <w:spacing w:before="0" w:after="0"/>
        <w:ind w:left="0" w:right="14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the combined company is expected to operate as Pasqal Holding SA and is expected to be listed on Nasdaq under the ticker symbol PSQL. The transaction remains subject to approval by Bleichroeder shareholders and other customary closing conditions.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8568"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Investors </w:t>
      </w:r>
    </w:p>
    <w:p>
      <w:pPr>
        <w:pStyle w:val="TextBody"/>
        <w:bidi w:val="0"/>
        <w:spacing w:before="0" w:after="0"/>
        <w:ind w:left="0" w:right="856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investors@pasqal.com</w:t>
      </w:r>
    </w:p>
    <w:p>
      <w:pPr>
        <w:pStyle w:val="TextBody"/>
        <w:bidi w:val="0"/>
        <w:spacing w:before="0" w:after="0"/>
        <w:ind w:left="0" w:right="9288" w:hanging="0"/>
        <w:jc w:val="left"/>
        <w:rPr>
          <w:caps w:val="false"/>
          <w:smallCaps w:val="false"/>
        </w:rPr>
      </w:pPr>
      <w:r>
        <w:rPr>
          <w:caps w:val="false"/>
          <w:smallCaps w:val="false"/>
        </w:rPr>
        <w:t> </w:t>
      </w:r>
    </w:p>
    <w:p>
      <w:pPr>
        <w:pStyle w:val="TextBody"/>
        <w:bidi w:val="0"/>
        <w:spacing w:before="0" w:after="0"/>
        <w:ind w:left="0" w:right="9288"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9288"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pr@pasqal.com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Pasqal</w:t>
      </w:r>
    </w:p>
    <w:p>
      <w:pPr>
        <w:pStyle w:val="TextBody"/>
        <w:bidi w:val="0"/>
        <w:spacing w:before="0" w:after="0"/>
        <w:ind w:left="0" w:right="144" w:hanging="0"/>
        <w:jc w:val="left"/>
        <w:rPr>
          <w:caps w:val="false"/>
          <w:smallCaps w:val="false"/>
        </w:rPr>
      </w:pPr>
      <w:r>
        <w:rPr>
          <w:caps w:val="false"/>
          <w:smallCaps w:val="false"/>
        </w:rPr>
        <w:t> </w:t>
      </w:r>
    </w:p>
    <w:p>
      <w:pPr>
        <w:pStyle w:val="TextBody"/>
        <w:bidi w:val="0"/>
        <w:spacing w:before="0" w:after="0"/>
        <w:ind w:left="0" w:right="14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Pasqal is a global leader in delivering practical quantum computing at scale utilizing neutral atom technology and dedicated software for industry, science, and governments. Since its founding in 2019, Pasqal has leveraged Nobel Prize winning research to build high-performance quantum systems and cloud-ready software designed to address complex challenges in optimization, simulation, and artificial intelligence.</w:t>
      </w:r>
    </w:p>
    <w:p>
      <w:pPr>
        <w:pStyle w:val="TextBody"/>
        <w:bidi w:val="0"/>
        <w:spacing w:before="0" w:after="0"/>
        <w:ind w:left="0" w:right="72" w:hanging="0"/>
        <w:jc w:val="both"/>
        <w:rPr>
          <w:caps w:val="false"/>
          <w:smallCaps w:val="false"/>
        </w:rPr>
      </w:pPr>
      <w:r>
        <w:rPr>
          <w:caps w:val="false"/>
          <w:smallCaps w:val="false"/>
        </w:rPr>
        <w:t> </w:t>
      </w:r>
    </w:p>
    <w:p>
      <w:pPr>
        <w:pStyle w:val="TextBody"/>
        <w:bidi w:val="0"/>
        <w:spacing w:before="0" w:after="0"/>
        <w:ind w:left="0" w:right="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France, Pasqal employs approximately 300 people and serves over 25 clients and partners, including Saudi Aramco, LG Electronics, Credit Agricole CIB, CMA CGM, OVHcloud, Tha les, IBM (Pasqal is part of the IBM Quantum Network), and Sumitomo.</w:t>
      </w:r>
    </w:p>
    <w:p>
      <w:pPr>
        <w:pStyle w:val="TextBody"/>
        <w:bidi w:val="0"/>
        <w:spacing w:before="0" w:after="0"/>
        <w:ind w:left="0" w:right="72" w:hanging="0"/>
        <w:jc w:val="left"/>
        <w:rPr>
          <w:caps w:val="false"/>
          <w:smallCaps w:val="false"/>
        </w:rPr>
      </w:pPr>
      <w:r>
        <w:rPr>
          <w:caps w:val="false"/>
          <w:smallCaps w:val="false"/>
        </w:rPr>
        <w:t> </w:t>
      </w:r>
    </w:p>
    <w:p>
      <w:pPr>
        <w:pStyle w:val="TextBody"/>
        <w:bidi w:val="0"/>
        <w:spacing w:before="0" w:after="0"/>
        <w:ind w:left="0" w:right="7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Backed by more than USD 300 million in total funding from leading international investors, Pasqal is pursuing a listing on Nasdaq in partnership with Bleichroeder Acquisition Corp. II (Nasdaq: BBCQ) and is accelerating the adoption of scalable, high-performance quantum computing worldwide.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Bleichroeder Acquisition Corp. II</w:t>
      </w:r>
    </w:p>
    <w:p>
      <w:pPr>
        <w:pStyle w:val="TextBody"/>
        <w:bidi w:val="0"/>
        <w:spacing w:before="0" w:after="0"/>
        <w:ind w:left="0" w:right="144" w:hanging="0"/>
        <w:jc w:val="left"/>
        <w:rPr>
          <w:caps w:val="false"/>
          <w:smallCaps w:val="false"/>
        </w:rPr>
      </w:pPr>
      <w:r>
        <w:rPr>
          <w:caps w:val="false"/>
          <w:smallCaps w:val="false"/>
        </w:rPr>
        <w:t> </w:t>
      </w:r>
    </w:p>
    <w:p>
      <w:pPr>
        <w:pStyle w:val="TextBody"/>
        <w:bidi w:val="0"/>
        <w:spacing w:before="0" w:after="0"/>
        <w:ind w:left="0" w:right="144"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Bleichroeder Acquisition Corp. II (Nasdaq: BBCQ) is a special purpose acquisition company formed for the purpose of effecting a merger, capital stock exchange, asset acquisition, stock purchase, reorganization, or similar business combination with one or more businesses.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herein may be considered “forward-looking statements” within the meaning of Section 27A of the Securities Act of 1933, as amended, and Section 21E of the Securities Exchange Act of 1934, as amended. Forward-looking statements generally are accompanied by words such as “believe,” “may,” “might”, “will,” “estimate,” “continue,” “anticipate,” “intend,” “expect,” “should,” “would,” “could,” “plan,” “predict,” “project”, “forecast,” “believe,” “potential,” “seem,” “seek,” “target,” “possible,” “future,” “outlook” or similar terminology or expressions that predict or indicate future events or trends. These forward-looking statements include, but are not limited to, statements regarding future events and the proposed business combination between Bleichroeder Acquisition Corp. II (“Bleichroeder”) and Pasqal Holding SAS (“Pasqal”).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current expectations and are not predictions of actual performance. They are provided for illustrative purposes only and must not be relied on as a guarantee, prediction or definitive statement of fact or probability. Actual events and circumstances are difficult or impossible to predict and are beyond the control of Bleichroeder and Pasqal. These statements are subject to known and unknown risks, uncertainties and assumptions regarding Pasqal’s business and the business combination, and actual results may differ materially. These risks and uncertainties include, but are not limited to: general economic, political, social and business conditions; uncertainty or changes with respect to laws and regulations; the inability of the parties to consummate the business combination failure to realize the anticipated benefits of the business combination; the risk that the business combination disrupts Pasqal’s current plans and operations; the risk from Pasqal pursuing an emerging technology, facing significant technical challenges and the potential that it may not achieve commercialization or market acceptance; Pasqal’s reliance on strategic partners and other third parties; Pasqal’s ability to maintain, protect and defend its intellectual property rights; and other risks that will be detailed from time to time in filings with the U.S. Securities and Exchange Commission (the “SEC”). The foregoing list of risk factors is not exhaustive. There may be additional risks that Pasqal and Bleichroeder presently do not know or currently believe are immaterial that could also cause actual results to differ from those contained in forward-looking statements. In addition, forward-looking statements provide Pasqal’s and/or Bleichroeder’s expectations, plans and forecasts of future events and views as of the date of this communication. While Pasqal and/or Bleichroeder may elect to update these forward-looking statements in the future, Pasqal and Bleichroeder specifically disclaim any obligation to do so.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will be submitted to shareholders of Bleichroeder for their consideration. In connection with the business combination, Bleichroeder, Bleichroeder Acquisition France Merger Sub 2 and Pasqal jointly filed a registration statement on Form F-4 with the SEC, which was declared effective by the SEC on August 5, 2026 (as subsequently amended, the “Registration Statement”), and which includes a definitive proxy statement/prospectus. The definitive proxy statement/prospectus and certain other related documents have been mailed to Bleichroeder shareholders as of August 4, 2026, the record date established for voting on the proposed transaction, in connection with Bleichroeder’s solicitation for proxies for the vote by Bleichroeder’s shareholders in connection with the business combination and other matters described in the Registration Statement, as well as the prospectus relating to the offer and sale of the securities to be issued to Pasqal’s shareholders in connection with the completion of the business combination. This communication is not a substitute for the Registration Statement, the definitive proxy statement/prospectus or any other document that Bleichroeder has sent to its shareholders in connection with the business combination.</w:t>
      </w:r>
    </w:p>
    <w:p>
      <w:pPr>
        <w:pStyle w:val="TextBody"/>
        <w:bidi w:val="0"/>
        <w:spacing w:before="0" w:after="0"/>
        <w:ind w:left="0" w:right="72" w:hanging="0"/>
        <w:jc w:val="left"/>
        <w:rPr>
          <w:caps w:val="false"/>
          <w:smallCaps w:val="false"/>
        </w:rPr>
      </w:pPr>
      <w:r>
        <w:rPr>
          <w:caps w:val="false"/>
          <w:smallCaps w:val="false"/>
        </w:rPr>
        <w:t> </w:t>
      </w:r>
    </w:p>
    <w:p>
      <w:pPr>
        <w:pStyle w:val="TextBody"/>
        <w:bidi w:val="0"/>
        <w:spacing w:before="0" w:after="0"/>
        <w:ind w:left="0" w:right="7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ANY INVESTMENT OR VOTING DECISION, INVESTORS AND SECURITY HOLDERS ARE ADVISED TO READ THE REGISTRATION STATEMENT, DEFINITIVE PROXY STATEMENT/PROSPECTUS AND ANY OTHER RELEVANT DOCUMENTS AND, IN EACH CASE, ANY AMENDMENTS THERETO, FILED WITH THE SEC CAREFULLY AND IN THEIR ENTIRETY AS AND WHEN THEY BECOME AVAILABLE BECAUSE THEY WILL CONTAIN IMPORTANT INFORMATION ABOUT THE BUSINESS COMBINATION, RELATED TRANSACTIONS AND THE PARTIES TO THE BUSINESS COMBINATION. Shareholders of Bleichroeder may obtain copies of these documents (when available) and other documents filed with the SEC free of charge at www.sec.gov.</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Bleichroeder, Pasqal and certain of their respective directors, executive officers, and other members of management, employees and consultants, under SEC rules, may be deemed participants in the solicitation of proxies from Bleichroeder’s shareholders with respect to the business combination. A list of the names of Bleichroeder’s directors and executive officers and a description of their interests in Bleichroeder and the business combination is contained in the sections entitled “Directors, Executive Officers and Corporate Governance,” “Security Ownership of Certain Beneficial Owners and Management and Related Stockholder Matters,” and “Certain Relationships and Related Transactions, and Director Independence” of the Annual Report filed by Bleichroeder with the SEC on March 16 2026 and the Current Report on Form 8-K filed with the SEC on May 1, 2026, each of which is available free of charge at the SEC’s website at www.sec.gov. Information regarding the persons who may, under SEC rules, be deemed participants in the solicitation of proxies from Bleichroeder’s shareholders with respect to the business combination, and their direct and indirect interests, is included in the Registration Statement and the proxy statement/prospectus.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 an offer to purchase, nor a solicitation of an offer to sell, subscribe for or buy any securities, nor shall there be any sale, issuance or transfer of securities in any jurisdiction in contravention of applicable law nor (ii) the solicitation of any vote in any jurisdiction pursuant to the business combination or otherwise. No offer of securities shall be made except by means of a prospectus meeting the requirements of Section 10 of the Securities Act of 1933, as amended, or exemptions therefrom. No securities commission or securities regulatory authority has in any way passed upon the merits of the business combination or the accuracy or adequacy of this communication.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12" w:space="1" w:color="000000"/>
        </w:rPr>
      </w:pPr>
      <w:r>
        <w:rPr>
          <w:sz w:val="20"/>
          <w:bdr w:val="single" w:sz="12" w:space="1" w:color="000000"/>
        </w:rPr>
        <w:t>4</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1787</Words>
  <Characters>10963</Characters>
  <CharactersWithSpaces>12744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