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sz w:val="20"/>
        </w:rPr>
      </w:pPr>
      <w:bookmarkStart w:id="0" w:name="ea0301462-425_bleichroeder2.htm"/>
      <w:bookmarkStart w:id="1" w:name="ksea0301462425_bleichroeder2"/>
      <w:bookmarkEnd w:id="0"/>
      <w:bookmarkEnd w:id="1"/>
      <w:r>
        <w:rPr>
          <w:rFonts w:ascii="Times New Roman;Times;Serif" w:hAnsi="Times New Roman;Times;Serif"/>
          <w:b/>
          <w:sz w:val="20"/>
        </w:rPr>
        <w:t>Filed by Bleichroeder Acquisition France Merger Sub 2 pursuant to Rule 425</w:t>
        <w:br/>
        <w:t>under the Securities Act of 1933, as amended,</w:t>
        <w:br/>
        <w:t>and deemed filed pursuant to Rule 14a-12</w:t>
        <w:br/>
        <w:t>under the Securities Exchange Act of 1934, as amended</w:t>
        <w:br/>
        <w:t>Subject Company: Pasqal Holding SAS (File No. 333-296239-01)</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28575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7810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Source</w:t>
      </w:r>
      <w:r>
        <w:rPr>
          <w:rFonts w:ascii="Times New Roman;Times;Serif" w:hAnsi="Times New Roman;Times;Serif"/>
          <w:b w:val="false"/>
          <w:i/>
          <w:caps w:val="false"/>
          <w:smallCaps w:val="false"/>
          <w:sz w:val="20"/>
        </w:rPr>
        <w:t>: Pasqal Holding SAS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10, 2026 08:00 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Brings Qubit Control On-Chip – Advancing the Path to Fault-Tolerant Quantum Computing at Scale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Achieved with Aeponyx, a subsidiary of Pasqal acquired less than 18 months ago, the milestone clears one of the central hardware barriers on the path to fault-tolerant, industrial-scale quantum computers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 Aug. 10, 2026 (GLOBE NEWSWIRE) -- Pasqal, a global leader in neutral-atom quantum computing, today announced what it, to its knowledge, believes to be a world-first: the trapping of individual atoms using laser light generated by a photonic integrated circuit (PIC). Achieved with Aeponyx, Pasqal believes this milestone demonstrates a new scalable approach to qubit control supporting future large-scale FTQC quantum processors.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Neutral-atom quantum computers rely on highly focused laser beams, known as optical tweezers, to trap and control individual atoms that serve as qubits. As Pasqal pursues machines with more than 10,000 atoms and 100 logical qubits, one of the primary engineering challenges is the growing complexity of optical hardware, which today often requires large free-space optical benches. This advancement addresses this challenge by moving critical optical functions onto a photonic chip.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Building quantum computers that excel commercially means building hardware that delivers industry leading performance and can be manufactured in a scalable way,” said Wasiq Bokhari, Chief Executive Officer, Pasqal. “By moving qubit control onto a photonic chip, we removed what we believe to be one of the biggest barriers to scale - and we did it within 18 months of acquiring Aeponyx. We are very proud of our team for achieving this milestone.”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demonstration, Pasqal generated four optical traps through a single photonic chip and used them to hold four individual rubidium atoms inside a quantum processing unit - what Pasqal believes is the first time trapping light delivered from a photonic chip has held atoms on a neutral-atom quantum computer. The work is part of a broader development program to generate, route and control laser light directly on-chip. In testing, the photonic-chip architecture reproduced atom trapping with performance in line with Pasqal’s existing bulk-optics systems, including atom lifetimes of approximately 27.5 seconds. Pasqal believes the result validates integrated photonics as a viable building block for future neutral-atom processors, without sacrificing the quality of qubit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Co-developed with Aeponyx’s silicon-nitride photonics expertise, the platform is designed to shrink the optical footprint of future processors by as much as 50 times and to open a practical route to large-scale manufacturing, an expected advantage as the industry moves from prototypes to production.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will work to scale the photonic architecture toward the compact systems required for fault-tolerant, industrial-scale quantum computing, with a long-term target of more than 10,000 atoms and 100 logical qubits.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 illustrates Pasqal’s efforts to beat the forefront of the race to fault-tolerant quantum computing and its strategy of owning the critical hardware layers of its stack, turning targeted moves like the Aeponyx acquisition into measurable technical and commercial advances.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 global leader in delivering practical quantum computing at scale utilizing neutral atom technology and dedicated software for industry, science, and governments. Since its founding in 2019, Pasqal has leveraged Nobel Prize winning research to build high-performance quantum systems and cloud-ready software designed to address complex challenges in optimization, simulation, and artificial intelligence.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Pasqal employs approximately 300 people and serves over 25 clients and partners, including Saudi Aramco, LG Electronics, Crédit Agricole CIB, CMA CGM, OVHcloud, Thales, IBM (Pasqal is part of the IBM Quantum Network), and Sumitomo.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more than USD 300 million in total funding from leading international investors, Pasqal is pursuing a listing on Nasdaq in partnership with Bleichroeder Acquisition Corp. II (Nasdaq: BBCQ) and is accelerating the adoption of scalable, high-performance quantum computing worldwide.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“believe,” “potential,” “seem,” “seek,” “target,” “possible,” “future,” “outlook” or similar terminology or expressions that predict or indicate future events or trends. These forward-looking statements include, but are not limited to, statements regarding future events and the proposed business combination between Bleichroeder Acquisition Corp. II (“Bleichroeder”) and Pasqal Holding SAS (“Pasqal”).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Bleichroeder and Pasqal. These statements are subject to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the inability of the parties to consummate the business combination failure to realize the anticipated benefits of the business combination; the risk that the business combination disrupts Pasqal’s current plans and operations;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“SEC”). The foregoing list of risk factors is not exhaustive. There may be additional risks that Pasqal and Bleichroeder presently do not know or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While Pasqal and/or Bleichroeder may elect to update these forward-looking statements in the future, Pasqal and Bleichroeder specifically disclaim any obligation to do so.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submitted to shareholders of Bleichroeder for their consideration. In connection with the business combination, Bleichroeder, Bleichroeder Acquisition France Merger Sub 2 and Pasqal jointly filed a registration statement on Form F-4 with the SEC, which was declared effective by the SEC on August 5, 2026 (as subsequently amended, the “Registration Statement”), and which includes a definitive proxy statement/prospectus. The definitive proxy statement/prospectus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or any other document that Bleichroeder has sent to its shareholders in connection with the business combination.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THE REGISTRATION STATEMENT, DEFINITIVE PROXY STATEMENT/PROSPECTUS AND ANY OTHER RELEVANT DOCUMENTS AND, IN EACH CASE, ANY AMENDMENTS THERETO, FILED WITH THE SEC CAREFULLY AND IN THEIR ENTIRETY AS AND WHEN THEY BECOME AVAILABLE BECAUSE THEY WILL CONTAIN IMPORTANT INFORMATION ABOUT THE BUSINESS COMBINATION, RELATED TRANSACTIONS AND THE PARTIES TO THE BUSINESS COMBINATION. Shareholders of Bleichroeder may obtain copies of these documents (when available) and other documents filed with the SEC free of charge at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Pasqal and certain of their respective directors, executive officers, and other members of management, employees and consultants, under SEC rules, may be deemed participants in the solicitation of proxies from Bleichroeder’s shareholders with respect to the business combination. A list of the names of Bleichroeder’s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each of which is available free of charge at the SEC’s website at www.sec.gov. Information regarding the persons who may, under SEC rules, be deemed participants in the solicitation of proxies from Bleichroeder’s shareholders with respect to the business combination, and their direct and indirect interests, is included in the Registration Statement and the proxy statement/prospectus.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No offer of securities shall be made except by means of a prospectus meeting the requirements of Section 10 of the Securities Act of 1933, as amended, or exemptions therefrom. No securities commission or securities regulatory authority has in any way passed upon the merits of the business combination or the accuracy or adequacy of this communication.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1671</Words>
  <Characters>9900</Characters>
  <CharactersWithSpaces>11575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