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Pasqal Holding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Euro 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Temasek Holdings (Private)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11,873,655.00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11,873,655.00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11,873,655.00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60"/>
        <w:gridCol w:w="8990"/>
        <w:gridCol w:w="155"/>
      </w:tblGrid>
      <w:tr>
        <w:trPr/>
        <w:tc>
          <w:tcPr>
            <w:tcW w:w="1060" w:type="dxa"/>
            <w:tcBorders/>
            <w:vAlign w:val="center"/>
          </w:tcPr>
          <w:p>
            <w:pPr>
              <w:pStyle w:val="TableContents"/>
              <w:bidi w:val="0"/>
              <w:spacing w:before="0" w:after="283"/>
              <w:jc w:val="left"/>
              <w:rPr/>
            </w:pPr>
            <w:r>
              <w:rPr/>
              <w:t>Item 1.</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issuer: </w:t>
            </w:r>
          </w:p>
          <w:p>
            <w:pPr>
              <w:pStyle w:val="TableContents"/>
              <w:bidi w:val="0"/>
              <w:spacing w:before="0" w:after="0"/>
              <w:jc w:val="left"/>
              <w:rPr/>
            </w:pPr>
            <w:r>
              <w:rPr/>
              <w:t>Pasqal Holding SA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 rue Emile Baudot, 91120 Palaiseau, France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2.</w:t>
            </w:r>
          </w:p>
        </w:tc>
        <w:tc>
          <w:tcPr>
            <w:tcW w:w="89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Temasek Holdings (Private) Limited</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60B Orchard Road #06-18 The Atrium@Orchard Singapore 238891</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jc w:val="left"/>
              <w:rPr/>
            </w:pPr>
            <w:r>
              <w:rPr/>
              <w:t xml:space="preserve">Citizenship: </w:t>
            </w:r>
          </w:p>
          <w:p>
            <w:pPr>
              <w:pStyle w:val="TableContents"/>
              <w:bidi w:val="0"/>
              <w:spacing w:before="0" w:after="0"/>
              <w:jc w:val="left"/>
              <w:rPr/>
            </w:pPr>
            <w:r>
              <w:rPr/>
              <w:t>Republic of Singapore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0.02 per share</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3.</w:t>
            </w:r>
          </w:p>
        </w:tc>
        <w:tc>
          <w:tcPr>
            <w:tcW w:w="89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(d)</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(e)</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(f)</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(g)</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(h)</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(j)</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(k)</w:t>
            </w:r>
          </w:p>
        </w:tc>
        <w:tc>
          <w:tcPr>
            <w:tcW w:w="89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9145" w:type="dxa"/>
            <w:gridSpan w:val="2"/>
            <w:tcBorders/>
            <w:vAlign w:val="center"/>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4.</w:t>
            </w:r>
          </w:p>
        </w:tc>
        <w:tc>
          <w:tcPr>
            <w:tcW w:w="89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(a)</w:t>
            </w:r>
          </w:p>
        </w:tc>
        <w:tc>
          <w:tcPr>
            <w:tcW w:w="89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Temasek, through an indirect wholly-owned subsidiary that owns 10,504,462 ordinary shares of the Issuer and another indirect wholly-owned subsidiary that owns 1,369,193 ordinary shares of the Issuer, may be deemed to beneficially own in aggregate 11,873,655 ordinary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(b)</w:t>
            </w:r>
          </w:p>
        </w:tc>
        <w:tc>
          <w:tcPr>
            <w:tcW w:w="89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 The percentage above is based on 212,293,691 ordinary shares of the Issuer outstanding as of September 1, 2026, as set forth in the Issuer's prospectus on Form 424B3 filed with the Securities and Exchange Commission on October 7, 2026.  %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(c)</w:t>
            </w:r>
          </w:p>
        </w:tc>
        <w:tc>
          <w:tcPr>
            <w:tcW w:w="89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11,873,655.00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11,873,655.00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5.</w:t>
            </w:r>
          </w:p>
        </w:tc>
        <w:tc>
          <w:tcPr>
            <w:tcW w:w="89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6.</w:t>
            </w:r>
          </w:p>
        </w:tc>
        <w:tc>
          <w:tcPr>
            <w:tcW w:w="89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7.</w:t>
            </w:r>
          </w:p>
        </w:tc>
        <w:tc>
          <w:tcPr>
            <w:tcW w:w="89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8.</w:t>
            </w:r>
          </w:p>
        </w:tc>
        <w:tc>
          <w:tcPr>
            <w:tcW w:w="89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Item 9.</w:t>
            </w:r>
          </w:p>
        </w:tc>
        <w:tc>
          <w:tcPr>
            <w:tcW w:w="89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Temasek Holdings (Private) Limited</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9"/>
        <w:gridCol w:w="4246"/>
      </w:tblGrid>
      <w:tr>
        <w:trPr/>
        <w:tc>
          <w:tcPr>
            <w:tcW w:w="59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Jason Norman Lee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Jason Norman Lee / Authorized Signatory</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2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3861</Characters>
  <CharactersWithSpaces>4577</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