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1002-425_bleichroeder2.htm"/>
      <w:bookmarkStart w:id="1" w:name="ksea0301002425_bleichroeder2"/>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Bleichroeder Acquisition France Merger Sub 2 pursuant to Rule 425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Pasqal Holding SAS (File No. 333-296239-01)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is a LinkedIn post published on August 6, 2026 by Pasqal Holding SAS.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38550" cy="7515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38550" cy="7515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“believe,” “potential,” “seem,” “seek,” “target,” “possible,” “future,” “outlook” or similar terminology or expressions that predict or indicate future events or trends. These forward-looking statements include, but are not limited to, statements regarding future events and the proposed business combination between Bleichroeder Acquisition Corp. II (“Bleichroeder”) and Pasqal Holding SAS (“Pasqal”).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Bleichroeder and Pasqal. These statements are subject to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the inability of the parties to consummate the business combination failure to realize the anticipated benefits of the business combination; the risk that the business combination disrupts Pasqal’s current plans and operations;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“SEC”). The foregoing list of risk factors is not exhaustive. There may be additional risks that Pasqal and Bleichroeder presently do not know or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While Pasqal and/or Bleichroeder may elect to update these forward-looking statements in the future, Pasqal and Bleichroeder specifically disclaim any obligation to do so.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submitted to shareholders of Bleichroeder for their consideration. In connection with the business combination, Bleichroeder, Bleichroeder Acquisition France Merger Sub 2 and Pasqal jointly filed a registration statement on Form F-4 with the SEC, which was declared effective by the SEC on August 5, 2026 (as subsequently amended, the “Registration Statement”), and which includes a definitive proxy statement/prospectus. The definitive proxy statement/prospectus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or any other document that Bleichroeder has sent to its shareholders in connection with the business combination.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THE REGISTRATION STATEMENT, DEFINITIVE PROXY STATEMENT/PROSPECTUS AND ANY OTHER RELEVANT DOCUMENTS AND, IN EACH CASE, ANY AMENDMENTS THERETO, FILED WITH THE SEC CAREFULLY AND IN THEIR ENTIRETY AS AND WHEN THEY BECOME AVAILABLE BECAUSE THEY WILL CONTAIN IMPORTANT INFORMATION ABOUT THE BUSINESS COMBINATION, RELATED TRANSACTIONS AND THE PARTIES TO THE BUSINESS COMBINATION. Shareholders of Bleichroeder may obtain copies of these documents (when available) and other documents filed with the SEC free of charge at www.sec.gov.</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Pasqal and certain of their respective directors, executive officers, and other members of management, employees and consultants, under SEC rules, may be deemed participants in the solicitation of proxies from Bleichroeder’s shareholders with respect to the business combination. A list of the names of Bleichroeder’s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each of which is available free of charge at the SEC’s website at www.sec.gov. Information regarding the persons who may, under SEC rules, be deemed participants in the solicitation of proxies from Bleichroeder’s shareholders with respect to the business combination, and their direct and indirect interests, is included in the Registration Statement and the proxy statement/prospectus.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No offer of securities shall be made except by means of a prospectus meeting the requirements of Section 10 of the Securities Act of 1933, as amended, or exemptions therefrom. No securities commission or securities regulatory authority has in any way passed upon the merits of the business combination or the accuracy or adequacy of this communication.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1055</Words>
  <Characters>6248</Characters>
  <CharactersWithSpaces>7308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