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443" w:type="dxa"/>
        <w:jc w:val="left"/>
        <w:tblInd w:w="0" w:type="dxa"/>
        <w:tblLayout w:type="fixed"/>
        <w:tblCellMar>
          <w:top w:w="0" w:type="dxa"/>
          <w:left w:w="0" w:type="dxa"/>
          <w:bottom w:w="0" w:type="dxa"/>
          <w:right w:w="0" w:type="dxa"/>
        </w:tblCellMar>
      </w:tblPr>
      <w:tblGrid>
        <w:gridCol w:w="1591"/>
        <w:gridCol w:w="146"/>
        <w:gridCol w:w="3706"/>
      </w:tblGrid>
      <w:tr>
        <w:trPr/>
        <w:tc>
          <w:tcPr>
            <w:tcW w:w="1591" w:type="dxa"/>
            <w:tcBorders/>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tcPr>
          <w:p>
            <w:pPr>
              <w:pStyle w:val="TableContents"/>
              <w:bidi w:val="0"/>
              <w:spacing w:before="0" w:after="283"/>
              <w:jc w:val="left"/>
              <w:rPr/>
            </w:pPr>
            <w:r>
              <w:rPr/>
              <w:t> </w:t>
            </w:r>
          </w:p>
        </w:tc>
        <w:tc>
          <w:tcPr>
            <w:tcW w:w="3706" w:type="dxa"/>
            <w:tcBorders/>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424(b)(3)</w:t>
              <w:br/>
              <w:t>Registration No. 333-298830</w:t>
            </w:r>
          </w:p>
        </w:tc>
      </w:tr>
    </w:tbl>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PASQAL HOLDING SA</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17,333,333 Ordinary Shares Issuable Upon Exercise of Warrants</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and</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286,674,886 Ordinary Shares</w:t>
        <w:br/>
        <w:t>Up to 7,750,000 Private Placement Warrants</w:t>
        <w:br/>
        <w:t>Offered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issuance by us of an aggregate of up to 17,333,333 ordinary shares, €0.02 par value per share (the “</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which consists of (i) up to 9,583,333 Ordinary Shares that are issuable upon the exercise of 9,583,333 warrants (the “</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originally issued in the initial public offering of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and (ii) up to 7,750,000 Ordinary Shares that are issuable upon the exercise of 7,750,000 warrants (the “</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and together with the Public Warrants, the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originally issued in a private placement to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Cohen &amp; Company Securities, LLC (“</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and Clear Street LLC (“</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in connection with the initial public offering of Bleichroeder. Each Warrant is exercisable at $11.50 per Ordinary Share, subject to adjustment. We will receive the proceeds from any exercise of the Warrants to the extent such Warrants or Investment Warrants are exercised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also relates to the offer and sale from time to time by the selling securityholders named in this prospectus or their permitted transferees (the “</w:t>
      </w:r>
      <w:r>
        <w:rPr>
          <w:rFonts w:ascii="Times New Roman PS Std;serif" w:hAnsi="Times New Roman PS Std;serif"/>
          <w:b/>
          <w:i w:val="false"/>
          <w:caps w:val="false"/>
          <w:smallCaps w:val="false"/>
          <w:sz w:val="20"/>
        </w:rPr>
        <w:t>Selling Securityholders</w:t>
      </w:r>
      <w:r>
        <w:rPr>
          <w:rFonts w:ascii="Times New Roman PS Std;serif" w:hAnsi="Times New Roman PS Std;serif"/>
          <w:b w:val="false"/>
          <w:i w:val="false"/>
          <w:caps w:val="false"/>
          <w:smallCaps w:val="false"/>
          <w:sz w:val="20"/>
        </w:rPr>
        <w:t>”) of (i) up to 286,674,886 Ordinary Shares, consisting of (a) up to 56,287,179 Ordinary Shares issuable upon conversion of the Senior Unsecured Convertible Bonds (the “</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issued pursuant to the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assuming a conversion price of $7.80 per Ordinary Share and taking into account payment-in-kind interest accrued for a period of three years from the Closing Date, (b) up to 50,080,128 Ordinary Shares issuable upon exercise of the Investment Warrants issued pursuant to the March 2026 SPA, assuming an exercise price of $7.80 per Ordinary Share, (c) up to 9,583,333 Ordinary Shares held by certain securityholders, received upon conversion and subsequent distribution by the Sponsor of 9,583,333 Bleichroeder Class B ordinary shares (the “</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in connection with the Business Combination (defined below), (d) up to 7,750,000 Ordinary Shares issuable upon exercise of the Private Placement Warrants, (e) up to 162,974,246 Ordinary Shares issued to certain former shareholders of Pasqal Holding SAS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in connection with the Merger (defined below),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pursuant to this prospectus. We will receive the proceeds from any exercise of the Warrants and the Investment Warrants to the extent such Warrants or Investment Warrants are exercised for cash, but not from the sale of the Ordinary Shares issuable upon such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securities for resale pursuant to the Selling Securityholders’ registration rights under the Amended and Restated Registration Rights Agreement, dated as of August 27, 2026 (as it may be amended, restated or otherwise modified from time to time,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Our registration of the securities covered by this prospectus does not mean that the Selling Securityholders will offer or sell any of the Ordinary Shares or Private Placement Warrants. The Selling Securityholders may offer, sell or distribute all or a portion of the securities hereby registered publicly or through private transactions at prevailing market prices or at negotiated prices. See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listed on The Nasdaq Stock Market LLC (“Nasdaq”) under the symbols “PSQL” and “PSQLW,” respectively. On September 17, 2026, the last reported sales price of our Ordinary Shares on Nasdaq was $7.91 per share, and the last reported sales price of our Public Warrants on Nasdaq was $1.39 per warrant.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You should review carefully the risks and uncertainties described in the section titled “Risk Factors” beginning on page 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and under similar headings in any amendments or supplements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date of this prospectus is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FREQUENTLY USED TERMS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MARKET INFORMATION FOR SECURITIES AND DIVIDEND POLICY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OUR 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CERTAIN RELATIONSHIPS AND RELATED PERSON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PRINCIPAL SECURITYHOLDERS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SELLING SECURITYHOLDERS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DESCRIPTION OF OUR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8">
              <w:r>
                <w:rPr>
                  <w:rStyle w:val="InternetLink"/>
                  <w:rFonts w:ascii="Times New Roman PS Std;serif" w:hAnsi="Times New Roman PS Std;serif"/>
                  <w:b w:val="false"/>
                  <w:i w:val="false"/>
                  <w:caps w:val="false"/>
                  <w:smallCaps w:val="false"/>
                  <w:sz w:val="20"/>
                </w:rPr>
                <w:t xml:space="preserve">MATERIAL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9">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21">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3">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any supplement to this prospectus or in any free writing prospectus, filed with the Securities and Exchange Commission (the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Neither we nor the Selling Securityholders have authorized anyone to provide you with additional information or information different from that contained in this prospectus filed with the SEC.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Ordinary Shares issuable upon the exercise of any Warrants. We will not receive any proceeds from the sale of Ordinary Shares underlying the Warrants pursuant to this prospectus, except with respect to amounts received by us upon the exercise of the Warrants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Legacy Pasqal, and Bleichroeder Acquisition France Merger Sub 2, a French société anonyme and a subsidiary of Bleichroeder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entered into an Agreement and Plan of Merger, dated February 28, 2026 (as amended,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which, among other things and subject to the terms and conditions contained therein, provided for (a) the merger of Bleichroeder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continuing as the surviving company (the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and together with the Reincorporation Merger and the other transactions contemplated by the Business Combination Agreement and the related agreements,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2026, Bleichroeder held an extraordinary general meeting of shareholders of Bleichroeder where the shareholders of Bleichroeder considered and approved a number of matters, including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an exchange ratio of approximately 22.736 (the “</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resulting in the issuance of 199,999,960 Ordinary Shares to the former shareholders of Legacy Pasqal; and (b) each then issued and outstanding equity warrant governed by French law (bons de souscription de parts de créateur d’entreprise) of Legacy Pasqal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or required by context, references in this prospectus to “</w:t>
      </w:r>
      <w:r>
        <w:rPr>
          <w:rFonts w:ascii="Times New Roman PS Std;serif" w:hAnsi="Times New Roman PS Std;serif"/>
          <w:b/>
          <w:i w:val="false"/>
          <w:caps w:val="false"/>
          <w:smallCaps w:val="false"/>
          <w:sz w:val="20"/>
        </w:rPr>
        <w:t>Pasqal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the 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our</w:t>
      </w:r>
      <w:r>
        <w:rPr>
          <w:rFonts w:ascii="Times New Roman PS Std;serif" w:hAnsi="Times New Roman PS Std;serif"/>
          <w:b w:val="false"/>
          <w:i w:val="false"/>
          <w:caps w:val="false"/>
          <w:smallCaps w:val="false"/>
          <w:sz w:val="20"/>
        </w:rPr>
        <w:t>” refer to Pasqal Holding SA, a French société anonyme, together with its consolidated subsidiaries, following the consummation of the Business Combination.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OF FINANCIAL INFORMATION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Pasqal SAS as of and for the years ended December 31, 2025 and 2024, and the related notes thereto, were prepared in accordance with the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 and are included elsewhere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Legacy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became a wholly owned subsidiary of Legacy Pasqal and the existing shareholders of Pasqal SAS became shareholders of Legacy Pasqal. Prior to the consummation of the Mergers, Legacy Pasqal had no material assets or operating activities outside of those of Pasqal SAS. Accordingly, no financial statements of Legacy Pasqal have been included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Bleichroeder are presented in conformity with accounting principles generally accepted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pursuant to the rules and regulations of the SEC.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RATE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amounts described herein have been expressed in U.S. dollars for convenience and, when expressed in U.S. dollars in the future, such amounts may be different from those set forth herein due to intervening exchange rate fluctuations.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CONVENTIONS WHICH APPLY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specified or the context otherwise requires, “</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U.S. dollar</w:t>
      </w:r>
      <w:r>
        <w:rPr>
          <w:rFonts w:ascii="Times New Roman PS Std;serif" w:hAnsi="Times New Roman PS Std;serif"/>
          <w:b w:val="false"/>
          <w:i w:val="false"/>
          <w:caps w:val="false"/>
          <w:smallCaps w:val="false"/>
          <w:sz w:val="20"/>
        </w:rPr>
        <w:t>” each refer to the United States dollar, and “euro” or “€” refers to the currency established for participating member states of the European Union (“</w:t>
      </w:r>
      <w:r>
        <w:rPr>
          <w:rFonts w:ascii="Times New Roman PS Std;serif" w:hAnsi="Times New Roman PS Std;serif"/>
          <w:b/>
          <w:i w:val="false"/>
          <w:caps w:val="false"/>
          <w:smallCaps w:val="false"/>
          <w:sz w:val="20"/>
        </w:rPr>
        <w:t>E.U.</w:t>
      </w:r>
      <w:r>
        <w:rPr>
          <w:rFonts w:ascii="Times New Roman PS Std;serif" w:hAnsi="Times New Roman PS Std;serif"/>
          <w:b w:val="false"/>
          <w:i w:val="false"/>
          <w:caps w:val="false"/>
          <w:smallCaps w:val="false"/>
          <w:sz w:val="20"/>
        </w:rPr>
        <w:t>”) as of the beginning of stage three of the European Monetary Union on January 1, 1999.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we present industry data, information and statistics regarding the markets in which we compete, as well as publicly available statistics, data and other information provided by third parties relating to markets, market sizes, market shares, market positions and other industry data pertaining to our business and markets. Such information is supplemented where necessary with our own internal estimates, taking into account publicly available information about other industry participants and the judgment of our management where information is not publicly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the sections titled “Cautionary Note Regarding Forward-Looking Statements” and “Risk Factors.” These and other factors could cause results to differ materially from those expressed in any forecasts or estimates.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 SERVICE MARKS AND TRADE 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or have rights to trademarks, trade names and service marks that we use in connection with the operation of our business. In addition, our names, logos and website names and addresses are our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 ™ and ℠ symbols, but such references are not intended to indicate, in any way, that we or the owners thereof will not assert, to the fullest extent under applicable law, our or their rights to these trademarks, trade names and service marks.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contained in this prospectus may constitute “forward-looking statements” for purposes of U.S. federal securities laws (collectively, “</w:t>
      </w:r>
      <w:r>
        <w:rPr>
          <w:rFonts w:ascii="Times New Roman PS Std;serif" w:hAnsi="Times New Roman PS Std;serif"/>
          <w:b/>
          <w:i w:val="false"/>
          <w:caps w:val="false"/>
          <w:smallCaps w:val="false"/>
          <w:sz w:val="20"/>
        </w:rPr>
        <w:t>forward-looking statements</w:t>
      </w:r>
      <w:r>
        <w:rPr>
          <w:rFonts w:ascii="Times New Roman PS Std;serif" w:hAnsi="Times New Roman PS Std;serif"/>
          <w:b w:val="false"/>
          <w:i w:val="false"/>
          <w:caps w:val="false"/>
          <w:smallCaps w:val="false"/>
          <w:sz w:val="20"/>
        </w:rPr>
        <w:t>”).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prospectus contains forward-looking statements pertaining to our strategy, future operations, financial position, projected costs, prospects and plans. 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uncertainty;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limited operating history, concentrated customer base and early-stage commercial model, which make it difficult to forecast our future results of operations and funding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quantum computing may never become commercially viable or widely adopted, and that our technology roadmap and the anticipated milestones and timing thereof may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need for a significant amount of additional capital to pursue our business objectives, risks relating to our outstanding indebtedness and the risk that additional financing may not be available on acceptable terms or at all, which could require us to delay, limit or substantially reduce our development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adapt our business and existing technology, including our manufacturing capacity, in a timely or cost-effective manner to meet customer and market demand;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competition on our future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quantum computing industry on a global scale, including the risk that competitors achieve technological breakthroughs that render our systems obsolete or inferior, and competitive pressures on our pricing;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relationships with third-party providers, including cloud providers and suppliers of specialized components such as laser systems, and the risk that any disruption of or interference with our use of such providers would adversely affect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future collaborative partners and our ability to establish and maintain suitable strategic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our ability to attract and retain senior executive leadership and other key employees, including quantum physicists, software engineers and other key technical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penetrate multiple markets, and the additional regulatory burdens and political, social and geographical risks associated with our international operations and investment commitments in France, the United States, Canada, Saudi Arabia, South Korea and the United Kingdom;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or delays in changes of control or significant investments in us due to French State influence and French foreign investment regulations, and limitations on shareholder liquidity and transferability of our securities arising therefrom;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limitations in our strategic decision-making due to our governance structure and restrictions under French law, including the strategic committee established at the level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patent protection for our technology and the risk that the scope of patent protection obtained is not sufficiently broad or robust, including risks arising from license and co-ownership arrangements originating in academic research and from our use of open-source software;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contracts with French and other governmental entities and the European Commission, which are subject to public procurement processes, budgetary constraints and changes in government priorities, and the risk that government grants may be reduced, cancelled or required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arising from litigation, investigations and regulatory proceedings, including product liability claims and environmental and safety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status as a foreign private issuer, which exempts us from certain provisions applicable to United States domestic public companies and the additional costs we would incur if that status were lost, and the difficulties investors may face in protecting their interests because we are organized under the laws of France, including limitations on the ability to enforce rights through the U.S. federal courts;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litigation, governmental or regulatory proceedings, investigations or inquiries involving us, including in relation to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national or local economic, social, political or legal conditions that could adversely affect us and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our internal controls and our corporate policies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and changes in governmental regulations or the enforcement thereof, tax laws and rates, including French tax legislation, limitations on the deductibility of interest and on the use of our tax loss carry-forwards, accounting guidance and similar matters in regions in which we operate or will operate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the market price and liquidity of the Ordinary Shares and the Public Warrants and our ability to maintain the listing of our Ordinary Shares and Warrants on Nasdaq and operate as a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any unforeseen liabilities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and oversight arising from our governance arrangements with Bpifrance and under French law, including the strategic committee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obtain lender consent, industry partner and other third party consents and approvals, when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with respect to market opportunity and market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and ability to maintain and enter into new contracts, awards and other relationships, partnerships or collaborations with other businesses, governments and government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our quantum computing technology to achieve quantum advantage;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expectations regarding the time during which we will be an emerging growth company under the Jumpstart Our Business Startups Act of 2012 (the “</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plans and opportunities, including risks related to the rollout of the Company’s business and expansion strategy;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obtain required approvals from regulatory authorities, including under French foreign investment control and applicable export control regimes.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herein may prove incorrect. These forward-looking statements speak only as of the date of this prospectus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and our filings with the U.S. Securities and Exchange Commission (www.sec.gov). There may be additional risks that we do not presently know or that we currently believe are immaterial, that could also cause actual results to differ from those contained in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Legacy Pasqal; assumptions that none of the risks identified in this prospectus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FREQUENTLY USED TERMS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xml:space="preserve">” means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its consolidated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xml:space="preserve">” means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of which Bleichroeder owned substantially all of the outstanding share capital prior to the consummation of the Reincorporation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means Merger Sub as the surviving company following the consummation of the Reincorporation Merger and prior to the consummation of the Merger;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New Pasqal</w:t>
      </w:r>
      <w:r>
        <w:rPr>
          <w:rFonts w:ascii="Times New Roman PS Std;serif" w:hAnsi="Times New Roman PS Std;serif"/>
          <w:b w:val="false"/>
          <w:i w:val="false"/>
          <w:caps w:val="false"/>
          <w:smallCaps w:val="false"/>
          <w:sz w:val="20"/>
        </w:rPr>
        <w:t xml:space="preserve">” means Bleichroeder Surviving Corporation or Pasqal Holding SA,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and its consolidated subsidiaries, following the merger of Legacy Pasqal with Bleichroeder Surviving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means that certain Amended and Restated Registration Rights Agreement entered into on the Closing Date by and among the Company, the Sponsor, certain former shareholders of Legacy Pasqal, the Investors and the other parties thereto, pursuant to which that certain Registration Rights Agreement, dated as of January 7, 2026, was amended and restated in its entirety, as of the Closing, as such agreement may be amended, restated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 that was the SPAC party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 IPO</w:t>
      </w:r>
      <w:r>
        <w:rPr>
          <w:rFonts w:ascii="Times New Roman PS Std;serif" w:hAnsi="Times New Roman PS Std;serif"/>
          <w:b w:val="false"/>
          <w:i w:val="false"/>
          <w:caps w:val="false"/>
          <w:smallCaps w:val="false"/>
          <w:sz w:val="20"/>
        </w:rPr>
        <w:t>” means the initial public offering of 28,750,000 Bleichroeder units, including 3,750,000 units pursuant to the underwriters’ full exercise of the over-allotment option, which closed on January 9, 2026.</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Bpifrance</w:t>
      </w:r>
      <w:r>
        <w:rPr>
          <w:rFonts w:ascii="Times New Roman PS Std;serif" w:hAnsi="Times New Roman PS Std;serif"/>
          <w:b w:val="false"/>
          <w:i w:val="false"/>
          <w:caps w:val="false"/>
          <w:smallCaps w:val="false"/>
          <w:sz w:val="20"/>
        </w:rPr>
        <w:t>” means Bpifrance Investissement S.A.S., a French société par actions simplifiée, having its registered office at 27-31, avenue du Général Leclerc, 94710 Maisons-Alfort Cedex, France.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means the transactions contemplated by the Business Combination Agreement, including the Reincorporation Merger and the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means Agreement and Plan of Merger, entered into on February 28, 2026, by and among Bleichroeder, Merger Sub and Legacy Pasqal, as amended by that certain Amendment No. 1 to the Agreement and Plan of Merger and Assignment and Assumption Agreement entered into on May 26, 2026, as further amended by that certain Amendment No. 2 to the Agreement and Plan of Merger entered into on June 25, 2026, as further amended by that certain Amendment No. 3 to the Agreement and Plan of Merger entered into on July 22, 2026, and as may be further amended, supplemented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means Clear Street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w:t>
      </w:r>
      <w:r>
        <w:rPr>
          <w:rFonts w:ascii="Times New Roman PS Std;serif" w:hAnsi="Times New Roman PS Std;serif"/>
          <w:b w:val="false"/>
          <w:i w:val="false"/>
          <w:caps w:val="false"/>
          <w:smallCaps w:val="false"/>
          <w:sz w:val="20"/>
        </w:rPr>
        <w:t>” means the closing of the Business Combination and the March 2026 Financing.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means August 27, 2026, the date on which the Closing occurred.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means the U.S. Internal Revenue Code of 1986,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means Cohen &amp; Company Capital Markets, a division of Cohen &amp; Company Securities,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coherence</w:t>
      </w:r>
      <w:r>
        <w:rPr>
          <w:rFonts w:ascii="Times New Roman PS Std;serif" w:hAnsi="Times New Roman PS Std;serif"/>
          <w:b w:val="false"/>
          <w:i w:val="false"/>
          <w:caps w:val="false"/>
          <w:smallCaps w:val="false"/>
          <w:sz w:val="20"/>
        </w:rPr>
        <w:t>” means the ability of a quantum system to maintain a well-defined phase relationship between different states in a superposition (when qubits are in multiple states at the same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Cayman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Companies Act</w:t>
      </w:r>
      <w:r>
        <w:rPr>
          <w:rFonts w:ascii="Times New Roman PS Std;serif" w:hAnsi="Times New Roman PS Std;serif"/>
          <w:b w:val="false"/>
          <w:i w:val="false"/>
          <w:caps w:val="false"/>
          <w:smallCaps w:val="false"/>
          <w:sz w:val="20"/>
        </w:rPr>
        <w:t>” means the Companies Act (Revised) of the Cayman Islands as the same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Continental</w:t>
      </w:r>
      <w:r>
        <w:rPr>
          <w:rFonts w:ascii="Times New Roman PS Std;serif" w:hAnsi="Times New Roman PS Std;serif"/>
          <w:b w:val="false"/>
          <w:i w:val="false"/>
          <w:caps w:val="false"/>
          <w:smallCaps w:val="false"/>
          <w:sz w:val="20"/>
        </w:rPr>
        <w:t>” means Continental Stock Transfer &amp; Trust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means the senior unsecured convertible bonds convertible into Ordinary Shares (obligations convertibles en actions ordinaires) issued on the Closing Date pursuant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DTC</w:t>
      </w:r>
      <w:r>
        <w:rPr>
          <w:rFonts w:ascii="Times New Roman PS Std;serif" w:hAnsi="Times New Roman PS Std;serif"/>
          <w:b w:val="false"/>
          <w:i w:val="false"/>
          <w:caps w:val="false"/>
          <w:smallCaps w:val="false"/>
          <w:sz w:val="20"/>
        </w:rPr>
        <w:t>” means the Depository Trust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entanglement</w:t>
      </w:r>
      <w:r>
        <w:rPr>
          <w:rFonts w:ascii="Times New Roman PS Std;serif" w:hAnsi="Times New Roman PS Std;serif"/>
          <w:b w:val="false"/>
          <w:i w:val="false"/>
          <w:caps w:val="false"/>
          <w:smallCaps w:val="false"/>
          <w:sz w:val="20"/>
        </w:rPr>
        <w:t>” means a fundamental phenomenon where two or more quantum bits (qubits) become interconnected and instantly correlated with the state of each other, regardless of the distance between them. This unique linkage enables quantum systems to represent and manipulate complex correlations in data.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Act</w:t>
      </w:r>
      <w:r>
        <w:rPr>
          <w:rFonts w:ascii="Times New Roman PS Std;serif" w:hAnsi="Times New Roman PS Std;serif"/>
          <w:b w:val="false"/>
          <w:i w:val="false"/>
          <w:caps w:val="false"/>
          <w:smallCaps w:val="false"/>
          <w:sz w:val="20"/>
        </w:rPr>
        <w:t>” means the Securities Exchange Act of 1934,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means the exchange ratio of approximately 22.736 calculated in accordance with the French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quantum computing that operates reliably even in the presence of errors, provided the error rate is below a certain threshold.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fidelity</w:t>
      </w:r>
      <w:r>
        <w:rPr>
          <w:rFonts w:ascii="Times New Roman PS Std;serif" w:hAnsi="Times New Roman PS Std;serif"/>
          <w:b w:val="false"/>
          <w:i w:val="false"/>
          <w:caps w:val="false"/>
          <w:smallCaps w:val="false"/>
          <w:sz w:val="20"/>
        </w:rPr>
        <w:t>” means the likelihood that a gate operation between two qubits is performed correctly without introducing errors.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means the 9,583,333 Ordinary Shares held by certain securityholders as distributed by the Sponsor, originally issued as Bleichroeder Class B ordinary shares, which converted into Ordinary Shares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Commercial Code</w:t>
      </w:r>
      <w:r>
        <w:rPr>
          <w:rFonts w:ascii="Times New Roman PS Std;serif" w:hAnsi="Times New Roman PS Std;serif"/>
          <w:b w:val="false"/>
          <w:i w:val="false"/>
          <w:caps w:val="false"/>
          <w:smallCaps w:val="false"/>
          <w:sz w:val="20"/>
        </w:rPr>
        <w:t>” means the French Code de commerce.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Merger Agreement</w:t>
      </w:r>
      <w:r>
        <w:rPr>
          <w:rFonts w:ascii="Times New Roman PS Std;serif" w:hAnsi="Times New Roman PS Std;serif"/>
          <w:b w:val="false"/>
          <w:i w:val="false"/>
          <w:caps w:val="false"/>
          <w:smallCaps w:val="false"/>
          <w:sz w:val="20"/>
        </w:rPr>
        <w:t>” means the draft merger agreement dated July 3, 2026, as amended by Amendment No. 1 thereto dated July 27, 2026, entered into in connection with the Merger, between Merger Sub and Legacy Pasqal and in accordance with the requirements of the French Commercial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means International Financial Reporting Standards as issued by the International Accounting Standards Board.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means, collectively, the RSU Incentive Plan, the BSPCE Incentive Plan and the Stock Option Incentive Plan.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Inflection Point</w:t>
      </w:r>
      <w:r>
        <w:rPr>
          <w:rFonts w:ascii="Times New Roman PS Std;serif" w:hAnsi="Times New Roman PS Std;serif"/>
          <w:b w:val="false"/>
          <w:i w:val="false"/>
          <w:caps w:val="false"/>
          <w:smallCaps w:val="false"/>
          <w:sz w:val="20"/>
        </w:rPr>
        <w:t>” means Inflection Point Fund I LP, in whose general partner Mr. Gundlach has, individually and through affiliates, a non-voting, non-controlling indirect financial interest.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means the convertible financing by Legacy Pasqal and Bleichroeder with select key investors as evidenced by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means the warrants (bons de souscription d’actions) to purchase Ordinary Shares issued pursuant to the March 2026 SPA on the Closing Date, initially exercisable at $12.00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means, in connection with the Investment provided for under the March 2026 SPA, those certain investors led by Inflection Point holding the Designation Right to designate one IP Nominee.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means the investors party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 means the Jumpstart Our Business Startups Act of 2012,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means the legacy BSPCE program established by Legacy Pasqal.</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means the $312.5 million aggregate principal amount of Senior Unsecured Convertible Bonds convertible into New Pasqal Ordinary Shares and Investment Warrants for an aggregate purchase price of $250.0 million be issued pursuant to the March 2026 SPA immediately following the closing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means the holders of the Senior Unsecured Convertible Bonds who are organized as a group for the representation of their interests.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means that certain Securities Purchase Agreement, dated as of March 4, 2026, as amended by Amendment No. 1 thereto dated May 23, 2026, by and among Bleichroeder, Merger Sub and the Investors.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MC Advisory</w:t>
      </w:r>
      <w:r>
        <w:rPr>
          <w:rFonts w:ascii="Times New Roman PS Std;serif" w:hAnsi="Times New Roman PS Std;serif"/>
          <w:b w:val="false"/>
          <w:i w:val="false"/>
          <w:caps w:val="false"/>
          <w:smallCaps w:val="false"/>
          <w:sz w:val="20"/>
        </w:rPr>
        <w:t>” means MC Advisory L.L.C-FZ, an entity formed in Dubai (of which Michel Combes, our Lead Independent Director, is the manager).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means the merger of Legacy Pasqal with and into Bleichroeder Surviving Corporation, with Bleichroeder Surviving Corporation surviving the merger and continuing as New Pasqal, the surviving company, pursuant to the French Merger Agreement and changing its name to “Pasqal Holding SA”.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Mergers</w:t>
      </w:r>
      <w:r>
        <w:rPr>
          <w:rFonts w:ascii="Times New Roman PS Std;serif" w:hAnsi="Times New Roman PS Std;serif"/>
          <w:b w:val="false"/>
          <w:i w:val="false"/>
          <w:caps w:val="false"/>
          <w:smallCaps w:val="false"/>
          <w:sz w:val="20"/>
        </w:rPr>
        <w:t>” means the Merger and the Reincorporation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Nasdaq</w:t>
      </w:r>
      <w:r>
        <w:rPr>
          <w:rFonts w:ascii="Times New Roman PS Std;serif" w:hAnsi="Times New Roman PS Std;serif"/>
          <w:b w:val="false"/>
          <w:i w:val="false"/>
          <w:caps w:val="false"/>
          <w:smallCaps w:val="false"/>
          <w:sz w:val="20"/>
        </w:rPr>
        <w:t>” means the Nasdaq Stock Market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neutral atoms</w:t>
      </w:r>
      <w:r>
        <w:rPr>
          <w:rFonts w:ascii="Times New Roman PS Std;serif" w:hAnsi="Times New Roman PS Std;serif"/>
          <w:b w:val="false"/>
          <w:i w:val="false"/>
          <w:caps w:val="false"/>
          <w:smallCaps w:val="false"/>
          <w:sz w:val="20"/>
        </w:rPr>
        <w:t>” refer to the modality that builds quantum systems by isolating, controlling and measuring atoms in a vacuum chamber using lasers, enabling long coherence times, high gate fidelities and precision sensing.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means the board of directors of New Pasqal, effective upon the Closing.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means ordinary shares, par value of approximately €0.02 per share, of the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means the 7,750,000 warrants originally issued in a private placement to the Sponsor (5,000,000), Cohen (2,612,500) and Clear Street (137,500) concurrently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means the 9,583,333 warrants sold in connection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means a “passive foreign investment company” within the meaning of Section 1297(a) of the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means when a quantum device (e.g., quantum computer) outperforms the best-in-class classical device at a task.</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computations that run simultaneously from qubits’ superposed states, which are manipulated with wave interference.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qubits</w:t>
      </w:r>
      <w:r>
        <w:rPr>
          <w:rFonts w:ascii="Times New Roman PS Std;serif" w:hAnsi="Times New Roman PS Std;serif"/>
          <w:b w:val="false"/>
          <w:i w:val="false"/>
          <w:caps w:val="false"/>
          <w:smallCaps w:val="false"/>
          <w:sz w:val="20"/>
        </w:rPr>
        <w:t>” means the basic unit of quantum information; unlike bits (0 or 1) used in classical computing, qubits can hold both values simultaneously.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means the merger of Bleichroeder with and into Merger Sub in accordance with Part 16 of the Cayman Companies Act and the French Commercial Code, with Merger Sub continuing as the surviving entity, such that the undertaking, property and liabilities of Bleichroeder and Merger Sub vested in the Bleichroeder Surviving Corporation by virtue of such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means each outstanding Legacy Pasqal BSPCE (</w:t>
      </w:r>
      <w:r>
        <w:rPr>
          <w:rFonts w:ascii="Times New Roman PS Std;serif" w:hAnsi="Times New Roman PS Std;serif"/>
          <w:b w:val="false"/>
          <w:i/>
          <w:caps w:val="false"/>
          <w:smallCaps w:val="false"/>
          <w:sz w:val="20"/>
        </w:rPr>
        <w:t>bons de souscription de parts de créateur d’entreprise</w:t>
      </w:r>
      <w:r>
        <w:rPr>
          <w:rFonts w:ascii="Times New Roman PS Std;serif" w:hAnsi="Times New Roman PS Std;serif"/>
          <w:b w:val="false"/>
          <w:i w:val="false"/>
          <w:caps w:val="false"/>
          <w:smallCaps w:val="false"/>
          <w:sz w:val="20"/>
        </w:rPr>
        <w:t>), which are French startup stock warrants that give employees the right to subscribe to shares at a predefined exercise price, that, at the Closing, were assumed by New Pasqal and will grant the right to subscribe for Ordinary Shares, with the number of shares adjusted, as applicable, to reflect the exchange ratio set forth in the French Merger Agreement and as set forth in the allocation schedule delivered pursuant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means the U.S. Securities and Exchange Commission.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Securities Act</w:t>
      </w:r>
      <w:r>
        <w:rPr>
          <w:rFonts w:ascii="Times New Roman PS Std;serif" w:hAnsi="Times New Roman PS Std;serif"/>
          <w:b w:val="false"/>
          <w:i w:val="false"/>
          <w:caps w:val="false"/>
          <w:smallCaps w:val="false"/>
          <w:sz w:val="20"/>
        </w:rPr>
        <w:t>” means the Securities Act of 1933,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means Bleichroeder Sponsor 2 LLC, a Delaware limited liability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superposition</w:t>
      </w:r>
      <w:r>
        <w:rPr>
          <w:rFonts w:ascii="Times New Roman PS Std;serif" w:hAnsi="Times New Roman PS Std;serif"/>
          <w:b w:val="false"/>
          <w:i w:val="false"/>
          <w:caps w:val="false"/>
          <w:smallCaps w:val="false"/>
          <w:sz w:val="20"/>
        </w:rPr>
        <w:t>” means the potential for a qubit to be in a state of 0, 1, or in a quantum superposition of both 0 and 1 at the same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means the Public Warrants and the Private Placement Warrants.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Agreement</w:t>
      </w:r>
      <w:r>
        <w:rPr>
          <w:rFonts w:ascii="Times New Roman PS Std;serif" w:hAnsi="Times New Roman PS Std;serif"/>
          <w:b w:val="false"/>
          <w:i w:val="false"/>
          <w:caps w:val="false"/>
          <w:smallCaps w:val="false"/>
          <w:sz w:val="20"/>
        </w:rPr>
        <w:t>” means that certain Warrant Agreement, dated as of January 7, 2026, by and between Bleichroeder and Continental, as warrant agent, as amended by the Warrant Amendment Agreement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means the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approved by the shareholders of New Pasqal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means United States generally accepted accounting principles.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the information set forth in the sections titled “Risk Factors,” “Our Business” and “Management’s Discussion and Analysis of Financial Condition and Results of Operations” and our consolidated financial statements and the notes thereto included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build and deliver industry-ready neutral-atom quantum processing units (“</w:t>
      </w:r>
      <w:r>
        <w:rPr>
          <w:rFonts w:ascii="Times New Roman PS Std;serif" w:hAnsi="Times New Roman PS Std;serif"/>
          <w:b/>
          <w:i w:val="false"/>
          <w:caps w:val="false"/>
          <w:smallCaps w:val="false"/>
          <w:sz w:val="20"/>
          <w:bdr w:val="single" w:sz="8" w:space="10" w:color="000000"/>
        </w:rPr>
        <w:t>QPUs</w:t>
      </w:r>
      <w:r>
        <w:rPr>
          <w:rFonts w:ascii="Times New Roman PS Std;serif" w:hAnsi="Times New Roman PS Std;serif"/>
          <w:b w:val="false"/>
          <w:i w:val="false"/>
          <w:caps w:val="false"/>
          <w:smallCaps w:val="false"/>
          <w:sz w:val="20"/>
          <w:bdr w:val="single" w:sz="8" w:space="10" w:color="000000"/>
        </w:rPr>
        <w:t>”), which are designed to transform cutting-edge scientific breakthroughs into real-world business solutions across multiple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Founded in 2019 out of the Institut d’Optique by Dr. Georges-Olivier Reymond, Dr. Christophe Jurczak, Professor Alain Aspect (Nobel Prize Laureate Physics, 2022), Professor Antoine Browaeys and Dr. Thierry Lahaye, we are at the forefront of neutral-atom quantum computing. As of the date of this prospectus, following the consummation of the Business Combination, we have approximately $360 million or €310 million of cash available, employ approximately 300 people worldwide including more than 70 PhDs, hold approximately 92 issued and pending patents, and have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We employ a modular approach to our neutral-atom processors, enabling the expansion of qubit arrays without compromising performance or fidelity. Our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We have demonstrated the scaling of our commercial capability with seven QPUs installed and three in production, and have two operational QPU manufacturing facilities in France and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work with a diverse set of customers and strategic partners globally, including IBM (we are part of the IBM quantum network), NVIDIA, Google, Microsoft, and leading high-performance computing centers such as GENCI/CEA, CINECA and Forschungszentrum Jülich. Our revenue is derived from direct sales of QPUs, cloud-based access to QPUs, and software and algorithm services. For the year ended December 31, 2025, we recorded revenue of €16.4 million. As of March 31, 2026, we had approximately $78.6 million (€68.4 million) in booked and awarded business, including grants.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Background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28, 2026, Bleichroeder, Legacy Pasqal and Merger Sub entered into the Business Combination Agreement, which, among other things and subject to the terms and conditions contained therein, provided for (a) the merger of Bleichroeder with and into Merger Sub, pursuant to Part 16 of the Cayman Companies Act and the French Commercial Code, with Merger Sub surviving the merger,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25, 2026, Bleichroeder held an extraordinary general meeting of shareholders of Bleichroeder where the shareholders of Bleichroeder considered and approved a number of matters, including the consummation of the Business Combination. In connection with the Reincorporation Merger, Bleichroeder merged with and into Merger Sub, with Merger Sub continuing as the surviving entity. Following the Reincorporation Merger, Legacy Pasqal merged with and into Bleichroeder Surviving Corporation, with Bleichroeder Surviving Corporation surviving the Merger and being renamed as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August 27, 2026,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the Exchange Ratio, resulting in the issuance of 199,999,960 Ordinary Shares to the former shareholders of Legacy Pasqal; and (b) each then issued and outstanding Rollover BSPCE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offices are located at 24, rue Emile Baudot, 91120 Palaiseau, France and our telephone number is +33 (0) 7 49 63 73 31. Our corporate website address is www.pasqal.com. Information contained on or accessible through our website is not a part of this prospectus, and the inclusion of our website address is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emerging growth company as defined in the JOBS Act. We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periodic reports and proxy statements, and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The below summary is qualified in its entirety by that more complete discussion of such risks and uncertainties. You should carefully consider the risks and uncertainties described under the section titled “Risk Factors” as part of your evaluation of an investment in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in our growth stage and have a limited operating history, which makes it difficult to forecast our future results of operations and funding requirements. It is also possible quantum computing might never become commercially viable or embraced.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require a significant amount of additional capital to pursue our business objectives and cannot be sure that additional financing will be available on reasonable terms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technical roadmap involves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quantum computing industry is competitive on a global scale and we may not be successful in competing in this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products and services are dependent upon our relationship with various third-party providers.\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maintain current strategic partnerships or realize the anticipated benefits from existing or future customer and government relationships.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future growth depends, in part, on our ability to penetrate multiple international markets.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obtain and maintain patent protection for our technology, our competitors could develop and commercialize similar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report financial results under IFRS, which differs in certain significant respects from U.S. GAAP.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société anonyme formed under the laws of France, we are permitted to adopt certain home country practices that differ from Nasdaq corporate governance listing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we are organized under the laws of France, investors may face difficulties in protecting their interests through the U.S. federal courts.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our Ordinary Shares may be volatile, which could cause the value of your investment to decline.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exercise of outstanding warrants or the conversion of the Convertible Bonds issued in connection with the March 2026 Financing will dilute existing stockholders and could adversely affect the market price of our Ordinary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Significant sales of our Ordinary Shares, or the perception that such sales could occur, could cause the market price of our Ordinary Shares to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qualify as a foreign private issuer and as such are exempt from certain provisions applicable to United States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or become a PFIC, which could result in adverse U.S. federal income tax consequences to U.S.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105"/>
      <w:bookmarkEnd w:id="5"/>
      <w:r>
        <w:rPr>
          <w:rFonts w:ascii="Times New Roman PS Std;serif" w:hAnsi="Times New Roman PS Std;serif"/>
          <w:b/>
          <w:i w:val="false"/>
          <w:caps w:val="false"/>
          <w:smallCaps w:val="false"/>
          <w:sz w:val="20"/>
          <w:bdr w:val="single" w:sz="8" w:space="10" w:color="00000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in this prospectus, our consolidated financial statements and notes to those consolidated financial statements and other financial information presented herein.</w:t>
      </w:r>
    </w:p>
    <w:tbl>
      <w:tblPr>
        <w:tblW w:w="2773" w:type="dxa"/>
        <w:jc w:val="left"/>
        <w:tblInd w:w="0" w:type="dxa"/>
        <w:tblLayout w:type="fixed"/>
        <w:tblCellMar>
          <w:top w:w="0" w:type="dxa"/>
          <w:left w:w="0" w:type="dxa"/>
          <w:bottom w:w="0" w:type="dxa"/>
          <w:right w:w="0" w:type="dxa"/>
        </w:tblCellMar>
      </w:tblPr>
      <w:tblGrid>
        <w:gridCol w:w="706"/>
        <w:gridCol w:w="146"/>
        <w:gridCol w:w="1921"/>
      </w:tblGrid>
      <w:tr>
        <w:trPr/>
        <w:tc>
          <w:tcPr>
            <w:tcW w:w="7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Holding SA</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Issuance of Ordinary Shares Pursuant to Exercise of Warrants</w:t>
      </w:r>
    </w:p>
    <w:tbl>
      <w:tblPr>
        <w:tblW w:w="10205" w:type="dxa"/>
        <w:jc w:val="left"/>
        <w:tblInd w:w="0" w:type="dxa"/>
        <w:tblLayout w:type="fixed"/>
        <w:tblCellMar>
          <w:top w:w="0" w:type="dxa"/>
          <w:left w:w="0" w:type="dxa"/>
          <w:bottom w:w="0" w:type="dxa"/>
          <w:right w:w="0" w:type="dxa"/>
        </w:tblCellMar>
      </w:tblPr>
      <w:tblGrid>
        <w:gridCol w:w="2331"/>
        <w:gridCol w:w="146"/>
        <w:gridCol w:w="7728"/>
      </w:tblGrid>
      <w:tr>
        <w:trPr/>
        <w:tc>
          <w:tcPr>
            <w:tcW w:w="2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us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17,333,333 Ordinary Shares, consisting of (i) up to 9,583,333 Ordinary Shares issuable upon the exercise of 9,583,333 Public Warrants and (ii) up to 7,750,000 Ordinary Shares issuable upon the exercise of 7,750,000 Private Placement Warrants.</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prior to the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212,293,691</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assuming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229,627,024</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 of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 per Ordinary Share, subject to adjustment as described herein.</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proceeds from the exercise of the Warrants at an exercise price of $11.50 per Ordinary Share, assuming cash exercise. We expect to use the net proceeds from such exercises for general corporate purposes. See the section titled “Use of Proceeds.”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Resale of Ordinary Shares and Private Placement Warrants</w:t>
      </w:r>
    </w:p>
    <w:tbl>
      <w:tblPr>
        <w:tblW w:w="10205" w:type="dxa"/>
        <w:jc w:val="left"/>
        <w:tblInd w:w="0" w:type="dxa"/>
        <w:tblLayout w:type="fixed"/>
        <w:tblCellMar>
          <w:top w:w="0" w:type="dxa"/>
          <w:left w:w="0" w:type="dxa"/>
          <w:bottom w:w="0" w:type="dxa"/>
          <w:right w:w="0" w:type="dxa"/>
        </w:tblCellMar>
      </w:tblPr>
      <w:tblGrid>
        <w:gridCol w:w="2962"/>
        <w:gridCol w:w="146"/>
        <w:gridCol w:w="7097"/>
      </w:tblGrid>
      <w:tr>
        <w:trPr/>
        <w:tc>
          <w:tcPr>
            <w:tcW w:w="296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up to an aggregate of 286,674,886 Ordinary Shares, consisting of:</w:t>
            </w:r>
          </w:p>
        </w:tc>
      </w:tr>
      <w:tr>
        <w:trPr/>
        <w:tc>
          <w:tcPr>
            <w:tcW w:w="296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56,287,179 Ordinary Shares issuable upon conversion of the Convertible Bonds;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50,080,128 Ordinary Shares issuable upon exercise of the Investment Warrants;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9,583,333 Founder Shares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7,750,000 Ordinary Shares issuable upon exercise of the Private Placement Warrants;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162,974,246 Ordinary Shares held by certain former shareholders of Legacy Pasqal in connection with the Merger.</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Warrants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7,750,000 Private Placement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redeemable in certain circumstances. See the section titled “Description of Our Securities —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 restrictions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securityholders are subject to certain restrictions on transfer until the termination of applicable lock-up periods.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78"/>
        <w:gridCol w:w="146"/>
        <w:gridCol w:w="8881"/>
      </w:tblGrid>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We will receive proceeds from any exercise of the Warrants at $11.50 per Ordinary Share or the Investment Warrants, but not from the sale of the Ordinary Shares issuable upon such exercise.</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investing in our securities, you should carefully read and consider the information set forth in the section titled “Risk Factors” beginning on page 7.</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ticker symbols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traded on Nasdaq under the symbols “PSQL” and “PSQLW,” respectively.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concerning the offering, see the section titled “Plan of Distribution” beginning on page 172.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risks. Before you make a decision to buy our securities, in addition to the risks and uncertainties discussed above under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you should carefully consider the risks and uncertainties set forth herein as well as the other information in this prospectus,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financial condition, growth prospects,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Financial Condition and Status as an Early Stage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in our growth stage and have a limited operating history, concentrated customer base and an early-stage commercial model, which makes it difficult to forecast our future results of operations and our funding requirements. It is also possible quantum computing might never become commercially viable or embraced. Our technology roadmap, including the anticipated milestones and timing thereof, may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founded in 2019 and, as a result of our limited operating history, our ability to accurately forecast our future results of operations is limited and subject to a number of uncertainties, including our ability to plan for and model future growth. Accordingly, our historical results should not be considered indicative of our future performance. Our ability to generate revenues will largely be dependent on our ability to develop and produce neutral atom-based quantum technology. We have experience in delivering early versions of our systems in limited quantities, and scaling them to high volumes requires additional learnings and work. Scaling production to higher volumes will require additional operational capabilities, industrialization efforts, and process improvements. There are significant technological and logistical challenges associated with developing, producing, marketing, selling, and distributing products in an advanced technology industry, and we may not be able to resolve all of the difficulties that may arise, including managing production at a scale or quality consistent with customer demand, in a timely or cost-effective manner, or at all. As a result, our scalable business model has not been formed and its technical roadmap may not be realized as quickly as hoped, or even at all. We may further update our technology roadmap in the future, including anticipated milestones and timeline. The development of our scalable business model will likely require substantially higher costs than incurred to date, while revenues will not substantially increase until more powerful, scalable computers are produced and commercially available, which requires technological advancements that may not occur on the currently anticipated timetable or at all. Our success as a business ultimately relies upon fundamental research and development breakthroughs in the coming years, and there is no certainty these milestones will be achieved as quickly as hoped, or even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future periods, our growth could slow or decline for a number of reasons, including slowing demand for our products and services, increased competition, changes to technology, inability to scale up our technology, a decrease in the growth of the market, or our failure, for any reason, to continue to take advantage of growth opportunities. We have also encountered, and will continue to encounter, risks and uncertainties frequently experienced by growing companies in rapidly changing industries. If our assumptions regarding these risks and uncertainties are incorrect or change, or if we do not address these risks successfully, our operating and financial results could differ materially from our expectations.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early-stage company, we have generated revenues from a limited number of customers, and our customer contracts to date have been largely project-based and individually negotiated. We have not yet established a broad, diversified customer base with recurring revenue streams, and our existing customer engagements have generally not been repeated in nature; past sales to any particular customer are not necessarily indicative of future sales to that customer. While the Company intends to expand and diversify our customer base over time, there can be no assurance that it will be successful in attracting new customers or that new customer relationships will generate revenues at levels comparable to those of our existing customers. Our ability to grow our customer base will depend on a number of factors, including market acceptance of our quantum computing solutions, our pricing and go-to-market strategy, and broader adoption of quantum computing technologies. Until we are able to establish a larger and more diversified customer base, our revenues may be volatile and difficult to predict.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transition to a more standardized, recurring commercial model will depend on, among other things, the development of scalable quantum computing products, broader market adoption, and our ability to structure repeatable commercial arrangements with new and existing customers. There can be no assurance that we will be successful in making this transition, and until it does, our revenues may remain volatile and difficult to predict.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losses since inception and experienced negative cash flows from operations. We incurred net losses of €(48.5) million and €(92.4) million in 2024 and 2025, respectively. As of December 31, 2025, we had an accumulated deficit of €(32.5) million. These losses and accumulated deficit are a result of the substantial investments we have made to grow our business and we expect to make significant expenditures to expand our business in the future. To date, our primary sources of capital have been through private placements of our securities, revenue from the sale of our products and services and government assistance in the form of grants. Until such time as we can generate significant revenue from our products and services, we expect to finance our cash needs through public or private equity or debt financings or other capital sources. However, we may be unable to raise additional funds or enter into such other arrangements, when needed, on favorable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yet achieved profitability on an annual or quarterly basis and it is unclear if we will be able to achieve or sustain, if achieved, profitability. We plan to continue to invest in our research and development, sales, marketing and professional services efforts, and we anticipate that our operating expenses will continue to increase as we scale our business and expand our operations. We also expect our general and administrative expense to increase as a result of our growth and operating as a public company. Our expenses may be greater than we anticipate, and our investments intended to reach our technical targets and scale our business and make our technical infrastructure more efficient may not be successful. Our ability to achieve and sustain profitability is based on numerous factors, many of which are beyond our control. We may never be able to generate sufficient revenue to achieve or sustain profitability and we may incur significantly higher losses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make decisions that would reduce our short-term operating results if we believe those decisions will improve the experiences of our customers or if we believe such decisions will improve our operating results over the long-term. These decisions may not be consistent with the expectations of investors and may not produce the long-term benefits we expect, in which case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generated initial, limited revenues from project sales, that were largely project-based, and our ability to scale project sales into a repeatable, standardized commercial model remains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generated initial revenues from product sales. However, such revenues have historically been limited and largely project-based. Our future growth will depend on our ability to transition from customized or one-off projects to scalable and repeatable commercial model with standardized products, pricing and contractual terms applicable to a broader customer base. If we are unable to achieve this transition, our revenues and growth prospects could be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unforeseen risks and challenges as a result of our corporate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undertook a significant corporate reorganization, pursuant to which all shareholders of Pasqal SAS contributed their shares in Pasqal SAS to Legacy Pasqal in exchange of Legacy Pasqal Shares. As a result, we may face unforeseen legal, tax, or operational risks related to such reorganization. Unforeseen issues could include, among other things, disputes over transfers of assets, recognition of tax positions, or fulfillment of contractual or regulatory obligations. Any such issues could result in additional costs, delays, or disruptions to our business, and could adversely affect our financial condition or our ability to execute our business strategy. Furthermore, the reorganization may require adjustments due to evolving regulatory and business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 significant amount of additional capital to pursue our business objectives and respond to business opportunities, challenges and unforeseen circumstances, and we cannot be sure that additional financing will be available on terms reasonably acceptable or at all. If we are unable to raise additional funding when needed, we may be required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our future plans for expansion are capital-intensive, and the specific timing of cash inflows and outflows may fluctuate substantially from period to period.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the issuance of securities (including convertible debt) with priority as to liquidation and dividend and other rights more favorable than ordinary shares, and the imposition of covenants, including those limiting or restricting our ability to take certain actions, such as incurring additional debt or equity, making capital expenditures or declaring dividends, imposing repayment obligations or other restrictions that may adversely affect our business. Additionally, the March 2026 Financing, as well as significant indebtedness incurred as a result of the March 2026 Financing and the issuance of the Senior Unsecured Convertible Bonds may make our future fund raising more difficult. See the risk factor titled “</w:t>
      </w:r>
      <w:r>
        <w:rPr>
          <w:rFonts w:ascii="Times New Roman PS Std;serif" w:hAnsi="Times New Roman PS Std;serif"/>
          <w:b w:val="false"/>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funds we raise may not be sufficient to fund our operations or enable us to continue to implement our long-term business strategy. Further, our ability to raise additional capital may be adversely impacted by worsening global economic conditions, disruptions to and volatility in the credit and financial markets in the United States and France and current and future military conflicts and wars around the world including related sanctions, tariffs and trade protection measures. There can be no assurance that deterioration in credit and financial markets and loss of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financing will be available to us on favorable terms or at all. The inability to obtain financing when needed may make it more difficult for us to operate our business or implement our growth plans.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scale and adapt our business and existing technology in a timely or cost-effective manner to meet customer and market demand, which could result in lower profitability or cause us to fail to execute on our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technology and management as well as our financial and operational resources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new customers and grow our customer base;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increase the rates at which existing customers use our platform, sell additional products and services to our existing customers, and reduce customer churn;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 in our platform and product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manage organizational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and/or refocus research and development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manufacturing and supply chain capacity;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sales and marketing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broaden customer-support and services capabilities;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or increase operational efficiencies;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new or improved technologies in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appropriate operational and financial systems;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effective financial disclosure controls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meet the performance and other requirements of our future customers, we intend to continue to make significant investments to increase capacity and to develop and implement new technologies in our products and services. These technologies include hardware and infrastructure, cloud provisioning, software architecture and the team’s capacity to triage and provide direct support.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is dependent also upon components it must source from multiple industries, including the electronics and laser systems industries., and shortages or supply interruptions in any of these components will adversely impact our ability to deliver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does not disrupt our services to our customers or at all.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ongoing improvements to our infrastructure may be more expensive than we anticipate, and may not yield the expected savings in operating costs or the expected performance benefits. If we cannot evolve and scale our business and operations effectively, it may not be able to execute our business strategies in a cost-effective manner and our business, financial condition, profitability and results of operations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rely heavily on future collaborative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and may enter into, strategic partnerships to develop and commercialize our current and future research and development programs with other companies to accomplish one or more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expertise in relevant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sales and marketing services or support;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equipment and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relationships with potential future customers;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opportunity estimates and growth forecasts, including those generated by us and those derived from market reports by leading research and consulting firms, are subject to significant uncertainty and are based on assumptions that may not prove to be accurate, as well as data published by third parties that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and if they did, could substantially reduce the market for quantum computing services. Any expansion in our market depends on a number of factors, including the cost, performance, and perceived value associated with quantum computing solutions. The methodology and assumptions used to estimate market opportunities may differ materially from the methodologies and assumptions previously used to estimate total addressable market. Advances in classical computing may prove more robust for longer than currently anticipated. This could adversely affect the timing of any quantum advantage being achieved,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upon our ability to expand, scale our operations and increase our sales capability. Even if the market in which we compete meets the size estimates and growth forecasted,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increasing the number of our customers, products or services, for example by entering into government contracts and expanding to new geographies, has required and may continue to require us to rapidly increase the availability of these services. Failure to adequately support and service our customers may inhibit our growth and ability to expand computing targets globally.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our projections on which such targets are based will prove accurate or that the pace of growth will meet customer expectations. Failure to grow at rates similar to that of the quantum industry may adversely affect our operating results and ability to effectively compete within the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contracts with French governmental entities and the European Commission may subject us to regulatory and budgetary risks that could potentially impact our revenues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may be derived from governmental contracts, including those with French and European public entities such as the Direction Générale de l’Armement and the European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contracts are subject to specific regulations, public procurement processes, and budgetary constraints applicable to government customers. Any reduction, delay, suspension, or termination of these contracts, whether due to shifts in government priorities, changes in public budgets, administrative decisions, or increased regulatory standards, could potentially have an adverse impact on our revenues and financial results, and may negatively affect our ability to secure future governmental projects. As a result, our revenues may fluctuate depending on the timing, renewal, and performance under these government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manage growth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upgrades to our facilities and systems is continual and ongoing, and we may not complete expansions and upgrades on terms originally anticipated, in a timely manner or at all, which could have a material impact on our business, financial condition or results of operations. Expansion will require significant cash investments and management resources and there is no guarantee that they will generate additional sales of our products or services, or that we will be able to avoid cost overruns or be able to hire additional personnel to support them.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and planned products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and services and we may be unable to detect and fix any defects in our quantum computers or cloud services infrastructure prior to the sale of products or services to potential consumers. Our products may contain defects in design, manufacturing and/or delivery that may cause them to fail to perform as expected or may require repair, recalls and/or design changes. These could be affected by infrastructure downtime either within our own service or because of third-party service providers on which we are dependent. If our products or services fail to perform as expected, customers may delay orders or terminate further orders, each of which could adversely affect our sales and brand and could adversely affect our business,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quantum computers requires advances in both science and engineering, and we may not have the ability to deliver those advances. The markets in which we operate are still rapidly evolving and highly competitive and the impact of rapidly changing science and engineering technologies could have an impact on the delivery of our technical roadmap which means that future generations of products both in quantum and in gate model may be delayed or may never be delivered. If this happens, our technical roadmap may be delayed or may never be achieved, either of which would have a material impact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 Additionally, competitive pressures may put pressure on our pricing, which may require us to reduce our pricing in order to provide competitively priced access to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in which we operate are fragmented by approach, rapidly evolving and highly competitive. As the marketplace continues to mature and new technologies and competitors enter, we expect competition to intensify. Our current competitors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well-established tech companies that generally compete across our products, including Honeywell, Google, Microsoft, Amazon, and IBM;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research organizations funded by sovereign nations such as China, Russia, Canada, Australia and the United Kingdom, and those in the European Union as of the date of this prospectus and we believe additional countries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less-established public and private companies with competing technology, including companies located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or emerging entrants seeking to develop competing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substantially greater brand recognition, customer and other third-party relationships, and financial, technical and other resources, including an experienced sales force and sophisticated supply chain management, including major distribution agreements with consultants, system integrators and resellers. They may be able to respond more quickly and effectively than us to new or changing opportunities, technologies, standards, customer requirements and buying practices or to cross-subsidize their quantum offerings from their other higher margin operations. In addition, many countries (in addition to France)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may be able to compete with us by bundling their other products or making acquisitions in a way that does not allow us to offer a competitive solution. Following such potential consolidations, companies may create more compelling product offerings and be able to offer more attractive pricing options, making it more difficult for us to compete effectively. Smaller or early-stage companies may also prove to be significant competitors, particularly if they pursue competing solutions through collaborative arrangements with large and established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adoption of new technologies, such as AI and machine learning, and new market entrants, we expect competition to intensify in the future. For example, our competitors may more successfully incorporate AI into their products, gain or leverage superior access to certain AI technologies and achieve higher market acceptance of their AI solutions. In addition, as we continue to expand our focus into new use cases or other product offerings beyond software development teams, we expect competition to increase. Pricing pressures and increased competition generally could result in reduced sales, reduced margins, losses, or the failure of our products to achieve or maintain more widespread market acceptance, any of which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competitors have extensive experience in developing and protecting intellectual property and may develop and patent processes or products earlier than us, obtain regulatory approvals for competing products more rapidly than we are able to and develop more effective and less expensive products or technologies that would render our products non-competitive or obsolete. We may also face intellectual property litigation risks if competitors assert patents or other intellectual property rights that overlap with our technologies or product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we do not achieve our objectives in a timely manner, we may lose competitive positioning relative to other quantum computing companies, as well as competing technologies and alternative solutions. Because there are a large number of market participants, including certain sovereign nations (in addition to France), such as the United States,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all of these reasons, competition may negatively impact our ability to maintain and grow consumption of our platform or put downward pressure on our prices and gross margins, any of which could materially harm the reputation, business, results of operations, and financial condition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are dependent upon our relationships with various third-party providers, including cloud providers and suppliers of specialized components such as laser systems, and any disruption of or interference with our use of such third parties would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 parties to operate our platform, third-party facilities to house some of our systems, third parties to provide our services, and specialized components sourced from third-party providers, including laser system providers, to operate our business. Our business is currently dependent upon our relationships with cloud providers (such as Google Cloud and Microsoft Azure) and producers of lasers. There are no assurances that we will be able to commercialize quantum computers from these relationships or without continued access to high-quality and reliable components and services from such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disruption of or interference with our use of such third-party providers or locations, including extended outages, interruptions, or the unavailability of services on commercially reasonable terms, could adversely affect our business, results of operations and financial condition. We could experience delays in our ability to provide our solutions or run our business, increased expenses, interruptions in our ability to manage finances, and impairments in our processes for managing sales of our platform and supporting our customers until equivalent services, if available, are identified, obtained, and implemented. If we need to transition to alternative providers, we may face difficulties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securing providers on acceptable terms or with the capabilities required to support our systems. As we seek to scale production to higher volumes, our reliance on these third-party providers may increase, and any failure to effectively manage our supply chain could limit our ability to meet customer demand and achieve our growth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and expect that it may experience, interruptions, delays and outages in service and availability due to a variety of factors, including infrastructure changes, human or software errors, hosting disruptions and capacity constraints, which may result from technical failures, natural disasters, fraud or security attacks. If our security, or that of our hosting provider, is compromised, or if our platform or products are unavailable or users are unable to use our products within a reasonable amount of time or at all, our business, results of operations and financial condition could be adversely affected. our ability to conduct security audits on our hosting provider is limited and our contracts do not contain strong indemnification terms in our favor. In some instances, we may not be able to identify or remedy the causes of these performance problems within a time period acceptable to customers, and it may become increasingly difficult to maintain and improve platform performance as products become more complex and usage increases. Any changes in service levels from our hosting providers may adversely affect our ability to meet customer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cloud providers and certain suppliers, including laser producers, have internal or potential competing technologies and significant resources. There is a risk that such providers could use their control over public clouds or essential components to embed competing capabilities, bundle competing products, provide unfavorable pricing, leverage customer relationships to exclude we from opportunities, or treat our customers differently with respect to terms, conditions or regulatory requirements. These providers may also acquire or partner with competing technology providers and thereby accelerate adoption of competing technologies. All of the foregoing could make it difficult or impossible for us to provide products and services that compete favorably.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rely on a limited number of specialized suppliers for critical components, including lasers used in our quantum processors. Partnerships with such suppliers could be terminated, may not scale as anticipated, or may not materialize at all. If our contractual and other business relationships with our third-party providers are terminated, suspended, or materially changed, including through the elimination of components or services on which we depend, we may be unable to provide our solutions at the same scale, experience significant delays, and incur additional expenses in transitioning to alternative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circumstances may harm our reputation, cause customers to stop using our products, impair our ability to attract new customers and increase revenue from existing customers, subject us to financial penalties and liabilities under service level agreements, result in reduced use of our systems, increased expenses, and otherwise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revenue projections are dependent on our ability to sell the QPUs in a cost-competitive fashion in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projections are dependent on our ability to sell the QPUs in a cost-competitive fashion in the market. These revenue projections are based on economies of scale due to demand for our computer systems, technological innovation and negotiations with third-party parts suppliers. If these revenue projections do not materialize, our quantum computing solution may become less competitive than those produced by our competitors, which could have a material effect on our business, financial condition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contracts typically involve delivery and commissioning lead times of approximately two years following contract execution and receipt of payment. As a result of this extended timeline between receipt of customer payment and the ultimate transfer of the equipment, these contracts contain a significant financing component, requiring the transaction price to be adjusted by discounting at the prevailing market interest rate. We may need to identify solutions that can act as consistent sources of revenue or change our pricing model from time to time. As the market for our platform matures, or as competitors introduce new solutions that compete with ours, we may be unable to attract potential customers at the same prices or based on the same pricing models that we intend to implement. Our assessments of competitive pricing may not be accurate and we could be underpricing or overpricing our platform and services. Our limited history means we do not have long-term market data on the optimal method of pricing our products and services and maximizing the opportunities they represent. In addition, if the offerings on our platform or our services change, we may need to revise our pricing strategies. Any such changes to our pricing strategies or our ability to efficiently price our offerings could adversely affect our business, results of operations and financial condition. In addition, as we continue to expand internationally, we also must determine the appropriate pricing strategy to enable us to compete effectively internationally. Pricing pressures and decisions could result in reduced sales, reduced margins, losses or the failure of our products and services to achieve or maintain more widespread market acceptance, any of which could negatively impact our overall business, results of operations and financial condition. Moreover, larger companies and public sector organizations, which are a primary focus of our direct sales efforts, may demand substantial price concessions. As a result, we may be required to price below our targets in the future, which could adversely affect our revenue, gross margin, profitability, cash flows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in its early stages and is volatile, and if it does not develop, if it develops slower than we expect, if it develops in a manner that does not require use of our products and services, if it encounters negative publicity or if our solution does not drive commercial engagement, the growth of our business will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quantum computers is still rapidly evolving, characterized by rapidly changing technologies, competitive pricing and competitive factors, evolving government regulation and industry standards, and changing customer demands and behaviors. If the market for quantum computers in general does not develop as expected, or develops more slowly than expected, our business, prospects, financial condition and operating results could be harmed. We have focused our efforts on the optimization market with our quantum computers, and in the near term expect our business to grow from this market. If optimization does not require quantum computing or if other classical or quantum solutions perform better than our products and services, we could see a decrease in customer uptake and revenue. In addition, our growth and future demand for our products is highly dependent upon the adoption by developers and customers of quantum computing, as well as on our ability to demonstrate the value of quantum computing to our customers. Delays in future generations of our quantum computers or technical failures at other quantum computing companies could limit market acceptance of our solution. Negative publicity concerning our solution or the quantum computing industry as a whole could limit market acceptance of our solution. While we believe quantum computing will solve many large-scale problems, we do not yet have evidence that quantum computers will be able to do so and such problems may never be solvable by quantum computing technology. If our customers do not perceive the benefits of our solution, or if our solution does not drive customer engagement, then our market may not develop at all, or it may develop more slowly than us expect. If any of these events occur, it could have a material adverse effect on our business, financial condition or results of operations. If progress towards “quantum advantage” (as described below) slows relative to expectations, it could adversely impact revenues and customer confidence to continue to pay for testing, access and “quantum readiness.” This would harm or even eliminate revenues in the period before quantum advantage.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products and services fail to deliver customer value to a broader range of customers than classical approaches, our business, financial condition and future prospects may be harmed.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xml:space="preserve">” means the moment when a quantum computer can compute faster than existing classical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they may never reach such advantage. Achieving a broad quantum advantage will be critical to the success of any quantum computing company, including us. However, achieving quantum advantage would not necessarily lead to commercial viability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technology that accomplished such advantage, nor would it mean that such system could outperform classical computers in tasks other than the one used to determine a quantum advantage. Other companies, including some of our customers, are working on classical approaches that target similar use cases, increasing competition and risk of not capturing market share. As quantum computing technology continues to mature, broad quantum advantage may take decades to be realized, if ever. If we cannot develop quantum computers that have quantum advantage, customers may not continue to purchase our products and services. If customers decide to wait until broad quantum advantage is reached, this could impair the growth of our business. If other companies’ quantum computers reach a broad quantum advantage prior to the time our reaches such capabilities, it could lead to a loss of customers. If any of these events occur, it could have a material adverse effect on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quantum computing is a new form of computing, some customers may want to understand the details of how our products operate. However, because this is proprietary and trade secret information we cannot or may not want to share and we may lose customers as a result.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 Real or perceived errors, disruptions, outages, defects and other performance and quality problems in our products and services could materially and adversely affect our operating results, financial condition and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on our quantum computing systems to be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real or perceived disruptions, outages, defects and other performance and quality problems with our quantum computing system or with the public cloud and internet infrastructure on which it relies,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may not achieve market success, but will still require significant costs to develop.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it must continue to dedicate significant resources to our research and development efforts before knowing whether there will be market acceptance of our quantum computing technologies. Furthermore, the technology for our products is new, and the performance of these products is uncertain. our quantum computing technologies could fail to attain sufficient market acceptance, if at all, for many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and the perceived value of our systems relative to their cost;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releasing quantum computers with sufficient performance and scale to the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produce products of consistent quality that offer functionality comparable or superior to existing or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produce products fit for their intended purpose;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failures to accurately predict market or customer demands;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defects, errors or failures in the design or performance of our quantum computing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about the performance or effectiveness of our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reaction of companies that market competitive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introduction or anticipated introduction of competing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are unable to effectively develop and market a quantum computing system to address these challenges and attain market acceptance, our business, operating results and financial condition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highly dependent on our ability to attract and retain senior executive leadership and other key employees, such as quantum physicists, software engineers and other key technical employees, and on effective succession planning and the transfer of knowledge among key scientific, technical and managerial personnel. If we fail to retain talented, highly qualified senior management, engineers and other key employees or attract them when needed, or fail to ensure smooth leadership transitions, such failure could negatively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the company’s strategic planning and execution.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are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and success depend on our ability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growth and success depend on our ability to sell effectively to our customers. Our potential customers tend to be large companies and public sector customers. Therefore, our future success will depend on our ability to effectively sell our products to such large companies and public sector customers. Sales to these end-customers involve risks that may not be present (or that are present to a lesser extent) with sales to smaller customers. These risks include, but are not limited to, (i) increased purchasing power and leverage held by public sector customers and large customers in negotiating contractual arrangements with us and (ii) longer sales cycles and the associated risk that substantial time and resources may be spent on a potential end-customer that elects not to purchase our solutions. Public sector customers and large organizations often undertake a significant evaluation process that results in a lengthy sales cycle. In addition, product purchases by public sector customers and large organizations are frequently subject to budget constraints, multiple approvals and unanticipated administrative, processing and other delays. In the future, we may be required to increase our marketing spend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changes in government spending could have adverse consequences on our financial position, results of operations and business. Our anticipated future revenues from the government result from contracts awarded under various government programs. Significant reduction in government spending could have long-term consequences to our financial results and operations. In addition, changes in government priorities and requirements could impact the funding, or the timing of funding, of our programs, which could negatively impact our results of operations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public sector customers and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our operations and meet customer demand for our QPUs is dependent on having adequate manufacturing facilities. Our current facilities may not provide sufficient space to support the production volumes required to accommodate a growth in demand. The assembly, calibration, and testing of QPUs requires specialized environments with precise environmental controls, and expanding or reconfiguring our facilities to increase production capacity may involve significant time, capital expenditure, and operational disruption. If we are unable to secure additional space on acceptable terms, or if there are delays in constructing, equipping, or qualifying new or expanded facilities, we may be unable to manufacture QPUs in the quantities or on the timelines required by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deployment cost estimates are highly sensitive to a range of economic factors, and our ability to control or manage our costs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The commercial viability of our quantum computing systems depends in part on our ability to reduce the cost of developing, manufacturing and operating our quantum processing units and related infrastructure. Achieving such cost reductions will require continued technological improvements, industrialization efforts and process optimization, which may not occur as expected or withing the anticipated timeframe. If we are unable to reduce these costs sufficiently, the adoption of our quantum computing solutions and our ability to achieve profitable operations could be affected.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future we may be required to record significant charges for impairment of our long-lived assets, other assets or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negative impact on our operating results and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are inherent uncertainties in management’s estimates, judgments and assumptions used in assessing recoverability of intangible and other long-lived assets. Any material changes in key assumptions, including failure to meet business plans, a deterioration in the U.S. and global financial markets, an increase in interest rates or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quantum computing systems may not be compatible with some or all industry-standard software and hardware in the future,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computing systems may not be compatible with some or all industry-standard software and hardware in the future, our business could be harmed. We have focused our efforts on creating quantum computing hardware, the operating system for such hardware and a suite of software programs that optimize execution of quantum algorithms on our hardware. If a proprietary (not open source) software toolset became the standard for quantum application development in the future by a competitor, usage of our hardware might be limited as a result which would have a negative impact on us. Similarly, if a piece of hardware became a necessary component for quantum computing (for instance, quantum networking) and we cannot integrate with it, the result might have a negative impact on us. 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are subject to a variety of 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rely on information technology systems for the use, storage and transmission of sensitive and confidential information with respect to our customers, our customers’ customers, our employees and other third parties. Cyberattacks and other malicious internet-based activity continue to increase, and cloud-based platform providers of products and services, such as us, have been and are expected to continue to be targeted by sophisticated hackers and cybercriminals, including nation-state and nation-state-supported actors, who employ advanced techniques such as social engineering (phishing), automated attacks (including denial-of-service attacks), malicious code (including viruses and worms), ransomware, and employee theft or misuse, which may evade detection for extended periods. Due to our use of third-party cloud infrastructure, we depend in part on third-party security measures to protect against cybersecurity-related attacks. Despite efforts to create security barriers, it is not feasible for us to entirely mitigate these risks, as the techniques used to obtain unauthorized access to or compromise of systems change frequently. A breach of our networks, or those of our service providers or vendors, could result in unauthorized access to, use of, loss of, or unauthorized disclosure of sensitive and confidential information, including personal information, and disruption of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processing units are highly complex and sensitive systems, and damage to a QPU, whether caused by a malicious actor or accident, could result in significant repair or replacement costs, project delays, and inability to meet customer commitments. Equipment failures affecting our information technology infrastructure could result in the unavailability of critical data and systems and disruption of operations, and potentially lead to the loss or unauthorized disclosure of confidential company or customer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our operations may be adversely affected by employee negligence, misconduct, or insider threats. Employees or contractors with access to sensitive systems, intellectual property, or confidential data may, whether intentionally or inadvertently, cause security breaches, damage to equipment, or unauthorized disclosure of proprietary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governments, including the French government and the European Commission, have enacted laws requiring companies to provide notice of data security incidents involving certain types of personal data, and some of our customers require notification of data security breaches. Security compromises experienced by us, our competitors, or our customers may lead to public disclosures and negative publicity, harm our reputation, erode confidence in our security measures, negatively affect our ability to attract new customers, encourage customers to restrict use of our platform or not renew subscriptions, or subject us to lawsuits, regulatory fines or other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general liability insurance coverage and coverage for cyber liability or errors or omissions may not continue to be available on acceptable terms or in sufficient amounts to cover one or more large claims, and our insurer may deny coverage with respect to future claims. The successful assertion of one or more large claims that exceed available insurance coverage, or changes in our insurance policies, including premium increases or the imposition of large deductibles or co-insurance requirements, would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risks, individually or in combination, could materially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conditions in the quantum computing industry or the global economy, including uncertain geopolitical conditions, could limit our ability to grow our business and negatively affect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Unfavorable conditions in the quantum computing industry or the global economy, could limit our ability to grow our business and negatively affect our results of operations. Our results of operations may vary based on the impact of changes in our industry or the global economy on the company or our customers and potential customers. Negative conditions in the general economy both in the United States, France and in other countries, including conditions resulting from changes in gross domestic product growth, inflation, financial and credit market fluctuations, tightening of the credit markets, including as a result of bank failures and any resulting issues in the broader U.S., European or global financial system, any higher interest rates, recessions, international trade relations, political turmoil, natural catastrophes, warfare, and terrorist attacks, could negatively impact our business, financial condition, results of operation, and liquidity or cause a decrease in business investments, including the progress on development of quantum technologies, and negatively affect the growth of our business. Similarly, geopolitical tensions in and around Ukraine, the Middle East and other areas of the world, including the conflict in the Middle East arising from strikes by Israel and the U.S. on Iran that began on February 28, 2026, the ensuing multi-week armed conflict involving retaliatory Iranian missile and drone strikes across the region, the resumption of the Israel-Hezbollah conflict in Lebanon, and the effective closure of the Strait of Hormuz, have created extreme volatility in the global capital markets and are expected to have further global economic consequences, including disruptions of the global supply chain and energy markets. Although a conditional ceasefire was announced on April 8, 2026, the situation remains unresolved. The ceasefire has been tested by further exchanges of fire, negotiations remain ongoing, and traffic through the Strait of Hormuz has not fully resumed. Any breakdown of the ceasefire, resumption of hostilities or further acts of war, terror, or responses to each could result in similar or increased impacts on the global economy. Increased inflation rates can adversely affect us by increasing our costs, including labor and employee benefit costs. In addition, higher inflation also could increase our customers’ operating costs, which could result in reduced budgets for our customers and potentially less demand for our quantum software products and the development of quantum technologies. Any significant increases in inflation and related increase in interest rates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supply chain may adversely affect our business in several ways,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news or events associated with industry peers may lead to decreased investor confidence in the sector, which could impact the broader stock market performance of companies operating within the industry, including us. This could result in fluctuations or declines in our stock price irrespective of our internal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events involving our competitors may alter the competitive landscape, affecting market share dynamics, pricing strategies, and overall positioning within the industry. This could impact our ability to retain or expand our market presence.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implement risk mitigation strategies, there is no guarantee that we will be insulated from the adverse effects of such events and the occurrence of any of these events could negatively impact our business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business, customers and partners could be adversely affected by climate change and related environmental sustainability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increasing and rapidly evolving concerns over the risks of climate change and related environmental sustainability matters. our operations, business, customers and partners could be adversely affected by climate change. The physical risks of climate change include rising average global temperatures, rising sea levels and an increase in the frequency and severity of extreme weather events and natural disasters. Such events and disasters could disrupt our operations or the operations of customers or third parties on which we rely and could result in market volatility. Additionally, we may face risks related to the transition to a low-carbon economy. We could experience increased expenses resulting from strategic planning, litigation and changes to our technology, operations, products and services, access to energy and water, as well as reputational harm as a result of negative public sentiment, regulatory scrutiny and reduced stakeholder confidence, due to our response to climate change or real or perceived vulnerability to climate change-related risks. Changes in consumer preferences, travel patterns and legal requirements could increase expenses or otherwise adversely impact our business, customers and partners.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actions and regulations, such as tariffs and trade protection measures, may limit our ability to obtain products from our suppliers or sell our products and services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trade policies, including tariff rates and customs duties, by the United States, France and other countries in which our suppliers are located could adversely impact our business. Tariffs or other trade restrictions imposed on components sourced from our suppliers could increase our costs and adversely affect our margins. In addition, tariffs imposed on our QPUs and other products entering the U.S. could require us to adjust our pricing, which may reduce demand or compress our margins. There is also a possibility of future tariffs, trade protection measures or other restrictions imposed on our products or on our customers by the U.S. or other countries that could have a material adverse effect on our business. We cannot predict what actions may ultimately be taken with respect to tariffs or international trade policies, and any such actions could materially and adversely affect our business, liquidity, financial condition and/or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reaction to new trade and geopolitical circumstances, the EU and its member states, including France, are already changing their traditionally open trade policies in order to provide more support to their sovereign interests (see the draft EU Industrialisation Accelerating Act although in its current version this project would not impact us). It is not possible to discard that such reorientation might become more aggressive in the future. In addition, should our technology become important for military and internal security purposes, the French government could envisage limiting the use of this technology in non-amicable countries, for instance via a strict application of export control rules. Such changes, if they materialize, could adversely affect our business, liquidity, financial conditions, and/or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Acquisitions, divestitures, strategic investments and strategic partnerships could disrupt our business and harm our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pursue growth opportunities by acquiring complementary businesses, solutions or technologies through strategic transactions, investments or partnerships. As an early-stage company, we may enter into certain of these transactions which, while potentially less profitable, may nevertheless be of strategic value and provide important opportunities for visibility and market positioning. The identification of suitable candidates for such transactions can be costly and time consuming and can distract our management team from our current operations. To the extent we choose to pursue such transactions, it may be unable to consummate them on favorable terms. The success of such transactions will depend, in part, on a variety of factors, including our ability to obtain debt or equity financing on acceptable terms and requisite governmental approvals. If we are unable to obtain such financing on terms favorable to it or at all, such transactions may adversely affect our liquidity and capital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strategic transaction might not strengthen our competitive position, may increase some of our risks, and may be viewed negatively by our customers, partners or investors. Even if we successfully complete a strategic transaction, it may not be able to effectively integrate the acquired business, technology, systems, control environment, solutions,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 or operations into our business. We may experience unexpected changes in how it is required to account for strategic transactions pursuant to IFRS and may not achieve the anticipated benefits of any strategic transaction. We cannot provide assurances that the anticipated strategic benefits of these transactions will be realized in the long term or at all. Further, we may fail to identify or assess the magnitude of certain liabilities, shortcomings or other circumstances prior to entering into such transactions. We may incur unexpected costs, claims or liabilities during the transaction or assume them from the acquired company, or may discover adverse conditions post-acquisition for which it has limited or no recourse. We may not obtain sufficient warranties, indemnities, insurance or other protections, which could result in unexpected litigation or regulatory exposure, unfavorable accounting treatment, unexpected increases in taxes, a loss of anticipated tax benefits or other adverse effects on our business, operating results or financial condition. Additionally, some warranties and indemnities may give rise to unexpected and significant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facilities or operations could be damaged or adversely affected as a result of prolonged power outages, natural disasters and other catastrophic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facilities or operations could be adversely affected by events outside of our control, such as natural disasters, and other calamities. We cannot assure you that any backup systems will be adequate to protect it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use of generative artificial intelligence (“AI”) tools may pose risks to our proprietary software and systems and subject us to legal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generative AI tools in our business, and expect to use generative AI tools in the future, for various internal and external uses. Generative AI refers to deep-learning models that can generate new data, such as text, images and other content, by analyzing and emulating existing data.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There is ongoing litigation over whether the use of copyrighted materials to train the AI models used in these tools is lawful, and the impact of decisions in such litigation on our use of generative AI tools is unknown. Additionally, our use of third-party generative AI tools to develop source code, text, images, inventions, or other materials may expose us to greater risks than utilizing contracted human developers, as third-party generative AI vendors typically do not provide warranties or indemnities with respect to the output generated by such generative AI tools, and generative AI tools may also hallucinate, providing output that appears correct but is erroneous.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while we employ practices designed to evaluate, track and mitigate risk around our use of third-party generative AI tools, our use of such tools may inadvertently violate a third party’s rights, be non-compliant with the applicable terms of use or our other legal obligations, or result in a security or privacy risk or data leakage. Our use of this technology could result in additional compliance costs, regulatory investigations and actions, and lawsuits. For example, we may face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proceedings and could require us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the vendors of these generative AI tools may fail to comply with their contractual obligations to us regarding the confidentiality or security of any data or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provided to such vendor or outputs generated by their generative AI tools. our sensitive information or that of our customers could be leaked, disclosed, or revealed as a result of or in connection with our employees’, personnel’s or vendors’ use of third-party generative AI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funding and financial contributions from contracts with the public sector, including the governments in Europe, Canada and South 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we have derived a portion of our revenue and financial contributions from the European, Canadian and South Korean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grants are typically evaluated on an annual or project basis, based on prevailing local regulations and policies, and are thus non-recurring in nature. Consequently, there is no guarantee that we will continue receiving or benefiting from them in the future and it is also challenging for us to predict the amounts of future grants. Under the terms and conditions of the government grants received and anticipated to be received, in some cases, the Company is required to meet certain requirements such as achievement of employment targets and execution of committed investment expenditures. There can be no assurance that we will be able to fully satisfy these conditions or perform such obligations, and it is possible that regulatory authorities may discontinue such grants or require us to repay part or all of the government grants we previously received. Any reduction, cancellation, or repayment resulting from our failure to perform such obligations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programs that are related to our products and services or the funding R&amp;D or related commercialization supports;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availability of, or ability to qualify for, R&amp;D tax credits, such as through the Government of Canada’s Scientific Research and Experimental Development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adoption of new laws or regulations relating to government contracting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or public support for security and defense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sentiment regarding economic nationalism and protectionism;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changes in the government appropriations and budget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comply with existing and new or modified laws and regulations applicable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associated with the current global threat environment and other geo-political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the payment of our invoices by government payment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International Expansion and Future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success depends, in part, on our ability to expand sales internationally, our business is susceptible to risks associated with international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offices and/or have personnel in the United States, France, Saudi Arabia, Canada, South Korea and the United Kingdom and expect to continue to expand our international operations by developing our sales and operational presence in additional jurisdictions. We cannot be certain that the investment and resources required to establish and expand operations in other countries will produce desired levels of revenue or profitability, and our limited experience in marketing, selling and supporting our platform outside of our existing markets increases the risk that such expansion efforts will not be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international operations subjects us to a variety of risks, some of which we have not generally faced in our existing markets,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familiarity with, and the burdens of complying with, foreign laws, legal standards, privacy and cybersecurity requirements, tariffs and other barriers, and the risk of penalties to us, our customers or our employees if our practices are deemed non-compliant;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practical difficulties in enforcing intellectual property rights and reduced or varied protection for such rights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evolving legal and regulatory frameworks for privacy and cybersecurity, which may require the establishment of local data storage systems, additional data centers and network infrastructure, and locally compliant documentation, resulting in substantial expense and diversion of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regulatory requirements, taxes, trade laws, tariffs, export quotas, customs duties and other trade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managing systems integrators, partners and international operations, including staffing challenges, differing employment laws and classification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supply chain challenges or delays and differing technology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pricing environments, longer sales cycles, extended payment cycles and difficulties in collecting accounts receivable;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financial reporting and accounting burdens and complexities;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costs associated with recruiting and retaining employees, including highly skilled personnel, and regulatory restrictions and legal costs associated with issuing equity compensation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political and regulatory changes, including restrictions on immigration and travel;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exchange rates and foreign exchange controls that may reduce the value of foreign revenue or increase operating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public health threats and geopolitical events, including tensions in and around Ukraine and the Middle East, including the escalation of conflict and hostilities in connection with strikes by Israel and the U.S. on Iran that began on February 28, 2026 and related retaliatory attacks, which could adversely affect our operations in the Middle 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tax consequences, including value added tax regimes, transfer pricing requirements and restrictions on the repatriation of earnings;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permanent establishment risks and complexities related to payroll, tax and social security obligations;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protectionist laws and business practices that favor local businesses, price controls, and restrictions on the export or import of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internationally also requires significant management attention and financial resources, and we may be unable to effectively engage with customers in international markets due to limited sales force capacity. Compliance with applicable laws and regulations increases the cost of doing business, and we may be unable to keep pace with regulatory changes. In addition, in many countries it is common for others to engage in business practices that are prohibited by our internal policies or applicable laws. Although we have implemented policies and procedures designed to ensure compliance, there can be no assurance that our employees, contractors, partners and agents will comply with such laws and policies. Violations could result in delays in revenue recognition, financial reporting misstatements, enforcement actions, reputational harm, disgorgement of profits, fines, civil and criminal penalties, damages, injunctions or restrictions on the importation or exportation of our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evaluate the performance of our subsidiaries and consider strategic alternatives, including restructuring or wind-down of certain operations. Our international operations are conducted through subsidiaries subject to the laws of multiple jurisdictions, including local insolvency and creditor protection regimes that differ from those in the United States. If any such subsidiary becomes subject to insolvency or similar proceedings, our ability to direct or influence the outcome may be limited, and such proceedings could give rise to claims by creditors or other third parties, result in costly litigation or regulatory actions, divert management’s attention and lead to adverse publicity. While we do not believe any current subsidiary insolvency proceeding will have a material adverse effect, there can be no assurance that such proceedings will be resolved without adverse consequences or that additional claims will not be asserted.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successfully manage these risks and challenges, our business, financial condition, revenues, results of operations and cash flows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and strategic partnerships in the Middle East expose us to heightened geopolitical, regulatory, and operational risks that could materially and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 East has experienced, and continues to experience, significant geopolitical instability, including the conflict arising from strikes by Israel and the U.S. on Iran that began on February 28, 2026, the ensuing multi-week armed conflict involving retaliatory Iranian strikes on U.S. military bases, Gulf states (including Saudi Arabia), and Israel, and the effective closure of the Strait of Hormuz. A conditional ceasefire was announced on April 8, 2026, however the situation remains fragile and unresolved. Any escalation or breakdown of the ceasefire, including the resumption or widening of armed conflict, the imposition of international sanctions, retaliatory military actions, acts of terrorism, or disruptions to critical infrastructure, could directly or indirectly affect our operations in Saudi Arabia, delay or impair the deployment and operation of our QPUs, and jeopardize our ability to perform under existing and possible future contractual arrangements. In particular, a widening of the conflict involving Iran and its proxies in the region could pose risks to the physical security of our assets and personnel in Saudi Arabia, disrupt supply chains for critical components needed to maintain and operate quantum computing systems, and create conditions that make it impractical to conduct business in the region.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international operations may subject us to greater than anticipated tax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taxes we may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it has not established a taxable connection, often referred to as a “permanent establishment” under international tax treaties, and such an assertion, if successful, could increase our expected tax liability in one or more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Litigation and 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depends, in part, on our ability to penetrate multiple markets, in which we would be subject to additional regulatory burdens and other political, social and geographical 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commercialize our products and services, in markets in Europe, the United States and other countries, which would subject us to additional risks and uncertainties,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currency exchange rate fluctuations and currency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economic weakness, including inflation and rising interest rates, or political instability in particular economies and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burden of complying with complex and changing regulatory, tax, accounting and legal requirements, many of which vary between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or other trade protection measures, trade barriers, import or export licensing requirements or other restrictive 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tax, employment, immigration and labor laws for employees living or traveling abroad;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workforce uncertainty in countries where labor unrest is common;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reduction or loss of protection of intellectual property rights in some foreign countries;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becoming subject to the different, complex and changing laws, regulations and court systems of multiple jurisdictions and compliance with a wide variety of foreign laws, treaties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operations may adversely affect our ability to attain or maintain profitable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service providers’) actual or perceived failure to comply with stringent and evolving European and other foreign laws, regulations, rules, contractual obligations, policies, and other obligations related to data privacy and security could harm our reputation, subject us to fines and liability, and otherwise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service providers must comply with numerous foreign and domestic laws, regulations, guidance, industry standards, external and internal privacy and security policies, contractual requirements, and other obligations regarding privacy and the storing, sharing, use, processing, disclosure, security, and protection of personal information and other data, such as information that we collect. We strive to comply with all applicable requirements and obligations; however, new laws, policies, codes of conduct, and legal obligations may arise, continue to evolve, be interpreted and applied in a manner that is inconsistent from one jurisdiction to another, and conflict with one another. Any failure or perceived failure by us or third parties working on our behalf to comply with applicable laws and regulations, any privacy and data security obligations pursuant to contract or pursuant to our stated privacy or security policies, or obligations to third parties may result in governmental enforcement actions (including fines, penalties, judgments, settlements, and public censure), civil claims, litigation, damage to our reputation, and loss of goodwill, any of which could have an adverse effect on our business, operations, and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United States, federal, state, and local governments have enacted numerous data privacy and security laws, including data breach notification laws, personal data privacy laws, consumer protection laws, and other similar laws. Certain states can or may impose stricter requirements for processing certain personal data, including sensitive information, such as conducting data privacy impact assessments. These state laws allow for statutory fines for noncompliance. These developments further complicate compliance efforts and increase legal risk and compliance costs for us, the third parties upon whom we rely, and our customers. Our employees and personnel may use generative artificial intelligence, or AI, technologies to support their work, and the disclosure and use of personal data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generative AI technologies is subject to various privacy laws and other privacy obligations. Governments have passed and are likely to pass additional laws regulating generative AI. The use of this technology might result in additional compliance costs, regulatory investigations and actions, and lawsuits.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data protection landscape is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The EU General Data Protection Regulation (the “EU GDPR”) applies to the collection and processing of personal data by us. The EU GDPR has increased compliance burdens on we, such as requiring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processing personal data only for specified, explicit, and legitimate purposes for which personal data were collected;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 legal basis for processing personal data and creating obligations for controllers and processors to appoint data protection officers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transparency obligations to data subjects for controllers (including presentation of certain information in a concise, intelligible, and easily accessible form about how their personal data is used and their rights vis-à-vis that data and its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carry out so-called data protection impact assessments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limitations on collection and retention of personal data through “data minimization” and “storage limitation”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obligations to honor increased rights for data subjects (such as rights for individuals to be “forgotten,” rights to data portability, and rights to object, etc.,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formalizing a heightened and codified standard of data subject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obligations to implement certain technical and organizational safeguards to protect the security and confidentiality of personal data;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provide notice of certain personal data breaches to the relevant supervisory authority or authorities and affected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processing of sensitive personal data is subject to compliance with specific exceptions under the EU and UK GDPR which may impose heightened compliance burdens and is a topic of active interest among foreign regulators.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and UK GDPR also provide for more robust regulatory enforcement and greater penalties for noncompliance than previous data protection laws, including fines of up to 20 million euros under the EU GDPR, 17.5 million pound sterling under the UK GDPR, or in each case, 4% of global annual revenue for the preceding financial year, whichever is higher. In addition to administrative fines, a wide variety of other potential enforcement powers are available to competent supervisory authorities in respect of potential and suspected violations of the EU and UK GDPR, including extensive audit and inspection rights, and powers to order temporary or permanent bans on all or some processing of personal data carried out by non-compliant actors. The EU and UK GDPR also confer a private right of action on data subjects and consumer associations to lodge complaints with supervisory authorities, seek judicial remedies, and obtain compensation for damages resulting from violations of the EU and UK GDPR.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are generally believed to be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no lawful manner for us to transfer personal data from the EEA or UK, including, for example, obtaining individuals’ explicit consent to transfer their personal data from the EEA or UK to the United States or other countries, we will face increased exposure to regulatory actions, substantial fines, and injunctions against processing personal data from the EEA or United Kingdom. Additionally, other countries outside of Europe have enacted or are considering enacting similar cross-border data transfer restrictions and laws requiring local data residency, which could increase the cost and complexity of delivering our products and operating our business. The type of challenges we face in Europe will likely also arise in other jurisdictions that adopt laws similar in construction to the EU and UK GDPR or regulatory frameworks of equivalent complexity.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the EU and UK GDPR or other laws and regulations relating to privacy and data protection may be interpreted and applied in a manner that is inconsistent from jurisdiction to jurisdiction or inconsistent with our current policies and practices, and compliance with such laws and regulations could require us to change our business practices and compliance procedures in a manner adverse to our business. We cannot guarantee that we are in compliance with all such applicable data protection laws and regulations, and we cannot be sure how these regulations will be interpreted, enforced, or applied to our operations. Furthermore, other jurisdictions outside the EEA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We cannot guarantee that we, our third-party collaborators, or our vendors are in compliance with all applicable data protection and privacy laws and regulations as they are enforced now or as they evolve. Further, for example, our privacy policies may be insufficient to protect any personal information we collect, or may not comply with applicable laws. Our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or perceived failure to adequately comply with applicable laws and regulations relating to privacy and data protection, or to protect personal data and other data we process or maintain, could result in regulatory enforcement actions against us, including fines, penalties, orders that require a change in our practices, additional reporting requirements and/or oversight, and public censure, claims for damages by affected individuals, other lawsuits, or reputational damage.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other laws and regulations governing our international operations, including regulations administered by the authorities in the United States, France and the E.U., including applicable export control regulations, economic sanctions on countries and persons, and customs requirements and currency exchange regulations, collectively referred to as the trade control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Exports of our products must be made in compliance with trade control laws. In some cases, certain reporting requirements may need to be performed. In addition, these laws may restrict or prohibit altogether the supply of certain of our products or services to certain governments, persons, entities, countries, and territories. Changes in our products and services and changes in applicable trade control laws may create delays in the introduction or provision of our products and services in certain jurisdictions, prevent others from using our product services or, in some cases, prevent the export or import of our product services to certain countries, governments, or persons altogether. Any limitation on our ability to export or provide our products and services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anti-corruption laws in the countries where we operate, including the United States and France. The Foreign Corrupt Practices Act (“</w:t>
      </w:r>
      <w:r>
        <w:rPr>
          <w:rFonts w:ascii="Times New Roman PS Std;serif" w:hAnsi="Times New Roman PS Std;serif"/>
          <w:b/>
          <w:i w:val="false"/>
          <w:caps w:val="false"/>
          <w:smallCaps w:val="false"/>
          <w:sz w:val="20"/>
        </w:rPr>
        <w:t>FCPA</w:t>
      </w:r>
      <w:r>
        <w:rPr>
          <w:rFonts w:ascii="Times New Roman PS Std;serif" w:hAnsi="Times New Roman PS Std;serif"/>
          <w:b w:val="false"/>
          <w:i w:val="false"/>
          <w:caps w:val="false"/>
          <w:smallCaps w:val="false"/>
          <w:sz w:val="20"/>
        </w:rPr>
        <w:t xml:space="preserve">”) prohibits companies and their employees, third-party intermediaries, and other associated persons from paying, offering, authorizing payment, or providing anything of value, directly or indirectly, to any foreign official, political party, or candidate for the purpose of influencing any act or decision of a foreign entity in order to obtain or retain business. The FCPA also obligates companies whose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the FCPA is expensive and difficult, particularly in countries in which corruption is a recognized problem.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anti-corruption laws also prohibit acts of bribery and influence peddling: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1°, of the French Criminal Code (bribery of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2°, and 433-2 of the French Criminal Code (influence peddling involving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 of the French Criminal Code (bribery of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434-9-1 of the French Criminal Code (influence peddling involving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435-1 and 435-3 of the French Criminal Code (bribery of foreign or international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435-9 of the French Criminal Code (bribery of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435-2, 435-4, 435-8 and 435-10 of the French Criminal Code (active and passive influence peddling involving foreign or international public officials and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445-1 and 445-2 of the French Criminal Code (bribery of private individuals);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French Law n°2016-1691 of December 9th, 2016 on Transparency, the Fight Against Corruption and the Modernization of the Economy (Sapin 2 Law), which provides for numerous new obligations for large companies such as the obligation (i) to draw up and adopt a code of conduct defining and illustrating the different types of behavior to be proscribed as being likely to characterize acts of corruption or influence peddling, (ii) to set up an internal warning system designed to enable the collections of reports from employees relating to the existence of conduct or situations contrary to the company’s code of conduct, (iii) to set up risk mapping designed to identify, analyze and prioritize the company’s exposure to external corruption risks, based on the sectors of activity and geographical areas in which the company operates, (iv) to set up procedures regarding risk mapping for assessing the situation of exposed third parties (such as customers, primary suppliers and intermediaries), (v) to set up accounting control procedures, whether internal or external, designed to ensure that the books, registers and accounts are not used to conceal acts of corruption or influence peddling, (vi) set up a training program for managers and staff most exposed to the risks of corruption and influence peddling; (vii) to set up a disciplinary system for sanctioning company employees in the event of a breach of the company’s code of conduct or a system for monitoring and evaluating the measures implemented.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might not be effective in ensuring compliance by our employees, representatives, contractors, business partners, and agents with all applicable anti-corruption laws, including the FCPA, the French anti-corruption laws, or other applicable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the United States or other authorities could also have an adverse impact on our reputation,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exposed to risks associated with litigation, investigations and regulatory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face legal, administrative and regulatory proceedings, claims, demands and/or investigations involving stockholder, consumer, competition, intellectual property, data privacy, employment, whistleblower, product liability and/or other issues relating to our business on a global basis. Litigation and regulatory proceedings are inherently uncertain, and adverse rulings could occur, including monetary damages, or an injunction stopping we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could be adversely affected by reviews, inquiries, or actions by the Committee on Foreign Investment in the United States (the “</w:t>
      </w:r>
      <w:r>
        <w:rPr>
          <w:rFonts w:ascii="Times New Roman PS Std;serif" w:hAnsi="Times New Roman PS Std;serif"/>
          <w:b/>
          <w:i w:val="false"/>
          <w:caps w:val="false"/>
          <w:smallCaps w:val="false"/>
          <w:sz w:val="20"/>
        </w:rPr>
        <w:t>CFIUS</w:t>
      </w:r>
      <w:r>
        <w:rPr>
          <w:rFonts w:ascii="Times New Roman PS Std;serif" w:hAnsi="Times New Roman PS Std;serif"/>
          <w:b w:val="false"/>
          <w:i w:val="false"/>
          <w:caps w:val="false"/>
          <w:smallCaps w:val="false"/>
          <w:sz w:val="20"/>
        </w:rPr>
        <w:t>”). The CFIUS has authority to review, condition, delay, or block certain transactions involving foreign investment in U.S. businesses for national security reasons, including transactions where a non-U.S. company acquires or has control over any U.S. operations. While our U.S. presence is currently limited and the risk of CFIUS intervention appears small, any such review or mitigation could result in delays, increased costs and restrictions on our business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subject to product liability claims, which could harm our financial condition and liquidity if we are not able to successfully defend or insure against such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we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is forced to make a claim under our policy.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requirements relating to environmental and safety regulations and environmental remediation matters which could adversely affect our business, operating results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the company brand, finances, or ability to operate.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French foreign investment regulations, which require prior authorization from the French Ministry of the Economy for the acquisition of significant interests by non-French investors in companies operating in sensitive sectors, including quantum technology and defense. Bpifrance is a French public investment bank that is jointly controlled by the French government and </w:t>
      </w:r>
      <w:r>
        <w:rPr>
          <w:rFonts w:ascii="Times New Roman PS Std;serif" w:hAnsi="Times New Roman PS Std;serif"/>
          <w:b w:val="false"/>
          <w:i/>
          <w:caps w:val="false"/>
          <w:smallCaps w:val="false"/>
          <w:sz w:val="20"/>
        </w:rPr>
        <w:t xml:space="preserve">Caisse des Dépôts et Consignations </w:t>
      </w:r>
      <w:r>
        <w:rPr>
          <w:rFonts w:ascii="Times New Roman PS Std;serif" w:hAnsi="Times New Roman PS Std;serif"/>
          <w:b w:val="false"/>
          <w:i w:val="false"/>
          <w:caps w:val="false"/>
          <w:smallCaps w:val="false"/>
          <w:sz w:val="20"/>
        </w:rPr>
        <w:t>(Deposits and Consignments Fund controlled by the French parliament).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restrict or delay future changes in control or significant acquisitions of our shares, or strategic transactions involving us, including mergers, acquisitions, or sales of substantial assets. If our shareholders fail to obtain required governmental approvals, certain transactions may be invalidated or impossible, and we could face regulatory sanctions or the loss of key governmental contracts. This regulatory environment may also deter potential investors or partners, limiting our strategic options and access to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delays or limitations in strategic decision-making due to governance structure and restrictions under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strategic decisions, such as the transfer of all or most intellectual property, the sale of all or most significant assets, or changes to our jurisdiction of incorporation, are subject to the prior approval of the shareholders of the Company and of a strategic committee of Pasqal SAS which will be comprised of certain existing shareholders, including a representative of Bpifrance. The consent of the strategic committee (majority vote with the positive vote of Bpifrance) is also required for a range of ongoing operational matters, including, among other things, the development of any intellectual property by Pasqal SAS filed outside of France, the license of any intellectual property by Pasqal SAS including to any subsidiary of our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operations are governed by a business allocation agreement between us and Pasqal SAS. This agreement establishes a framework for the segregation of activities within the Company, including the allocation of research and development and hardware activities to our subsidiaries. The business allocation agreement is intended to ensure compliance with French sovereignty and national security requirements, and any amendment to the business allocation agreement will require approval by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business allocation agreement provides that if we acquire an entity that carries out certain hardware protected activities (as defined in the business allocation agreement), such activities may continue to be carried out by the acquired company, subject to approval of the acquisition by the strategic committee. Furthermore, if our group contemplates acquiring an entity that carries out other protected activities, Pasqal SAS or a subsidiary of Pasqal SAS must complete such acquisition, unless the strategic committee authorizes the acquisition by us or another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governance arrangements are intended to ensure alignment with French national interests and to provide oversight of sensitive activities. However, they may also limit our ability to respond quickly to market opportunities, implement strategic initiatives, or adapt our business model. The requirement for unanimous approval from shareholders or committees may result in delays or the inability to complete certain transactions if consensus cannot be reached. This could place us at a competitive disadvantage relative to companies with more flexible governance structures.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Bpifrance has the right, pursuant to the Bpifrance Board Representation Letter which was entered into on the Closing Date, to propose the appointment of one member to our Board (who will also be proposed for appointment to the Board’s nominating and governance committee) for so long as the BPI Investor beneficially owns any Ordinary Shares, which will provide Bpifrance with continued representation on, and influence over, our Board.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See “</w:t>
      </w:r>
      <w:r>
        <w:rPr>
          <w:rFonts w:ascii="Times New Roman PS Std;serif" w:hAnsi="Times New Roman PS Std;serif"/>
          <w:b w:val="false"/>
          <w:i/>
          <w:caps w:val="false"/>
          <w:smallCaps w:val="false"/>
          <w:sz w:val="20"/>
        </w:rPr>
        <w:t>Certain Relationships and Related Person Transactions — Bpifrance Board Representation Letter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Contracts with the U.S. and French government and state agencies are subject to a number of challenges and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with U.S. and French government and state agencies are subject to a number of challenges and risks. The bidding process for government contracts can be highly competitive, expensive and time-consuming, often requiring significant up front time and expense without any assurance that these efforts will 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must comply with both local and international laws and regulations relating to the formation, administration, and performance of contracts, which provide public sector customers rights, many of which are not typically found in commercial contracts. Any changes to the government regulations applicable to government contracts could affect our ability to enter into, or the profitability of, contracts with government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other parties’ perceptions of our relationship with the U.S. and France could adversely affect our business prospects in jurisdictions outside the U.S. and France. Conversely, other parties’ perceptions of our relationship with foreign (non-U.S. governments and non-French) governments could adversely affect our business prospects with the U.S. or French governments.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our business, financial condition, results of operations, and growth prospects may be adversely affected by certain events or activities,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fiscal or procurement policies, or decreases in government funding available for procurement of goods and services generally, or for our federal government contracts 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U.S. and French government programs or applicable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in the grant of personnel security clearances to our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maintain facility clearances required to perform on classified contracts for U.S. and French government agencies, as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political environment, including before or after a change to the leadership within the government administration, and any resulting uncertainty or changes in policy or priorities and resultant funding;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U.S. and French governments’ attitude towards us as a company or our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appeals, disputes, or litigation relating to government procurement, including but not limited to bid protests by unsuccessful bidders on potential or actual awards of contracts to us or our partners by the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new laws or regulations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budgetary constraints, including automatic reductions as a result of “sequestration,” operating under continuing resolutions, disruptions from government shutdowns, or similar measures and constraints imposed by any lapses in appropriations for the federal government or certain of its departments and agencies;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influence by, or competition from, third parties with respect to pending, new, or existing contracts with government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legal obligations or political or social attitudes with respect to security or privacy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delays or changes in the government appropriations or procurement processes, including as a result of events such as war, incidents of terrorism, natural disasters, and public health concerns;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costs or unanticipated delays caused by other factors outside of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event or activity, among others, could cause governments and governmental agencies to delay or refrain from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penalties or lose French or other government contracts if, when required by the French government, it fails to protect classified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protect classified information, including information related to defense-related research and development and core hardware activities, as well as organize a segregation of this information within specific subsidiaries managed exclusively by French nationals with appropriate security clearances. This segregation would be designed to comply with French sovereignty and national security requirements, and to protect classified technologies and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unauthorized transfer of classified information, intellectual property, or other confidential information could result in regulatory penalties, the loss of governmental contracts, or reputational harm. In addition, these requirements may limit our flexibility to reorganize our operations, pursue international expansion, or enter into certain partnerships, which could adversely affect our growth prospects and operational efficiency.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risks and obligations arising from our international operations and commitments to invest in specific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in international markets may subject us to additional business, political, regulatory, operational, financial, and economic risks, any of which could increase our costs and hinder our growth. We have made, and may continue to make, formal commitments to governmental authorities to invest in certain countries, including the United States, Canada, Saudi Arabia, South Korea, France, and the United Kingdom as part of our growth strategy. These commitments may include obligations to establish operations, create jobs, or invest specified amounts of capital within agreed timeframes.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risks associated with expanding into markets where we have limited or no experience or recognition. We may be unable to attract a sufficient number of customers, fail to anticipate competitive conditions, or face difficulties in operating effectively in these new markets. Due to the evolving and potentially conflicting regulatory environment for the quantum computing industry across the globe, we may also be required to comply with more stringent compliance requirements in overseas markets. Failure to timely comply with such requirements or to meet investment commitments could result in penalties, loss of governmental support, reputational harm, or the inability to secure future permits, licenses, or incentives in those jurisdictions. Complying with the laws and regulations of different countries, as well as fulfilling investment obligations, may also require us to invest more resources and incur higher costs, to assign or license partially or in whole intellectual property assets, which may impact our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Successful operations in international markets will also depend on a number of other factors, including our ability to (i) identify appropriate overseas markets,(ii) localize products and adapt them to local preferences, (iii) compete with local developers, publishers, and operators with existing market shares and experience, (iv) protect our intellectual property rights in multiple jurisdictions and manage the related costs, (v) identify appropriate partners and establish and maintain cooperative relationships with them, (vi) manage costs associated with doing business in foreign jurisdictions and (vii) address the impact of potential political, economic, and social instability.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activities and investment commitments could significantly affect our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and obligations arising from undertakings given to the Canadian government in connection with the acquisition of Aeponyx Enterprises Inc., which could limit our operational flexibility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series of undertakings and compliance obligations with the Canadian government in connection with our 2024 acquisition of Aeponyx Enterprises Inc. These undertakings and compliance obligations cover a range of areas, including, but not limited to, governance commitments regarding certain employment restrictions, prohibitions on collaboration involving Aeponyx personnel, products or technology (but allowing the incorporation of Aeponyx technology in our products), requirements regarding the location of work in Canada and the use of certain foundries, and obligations to continue the development of Aeponyx technology within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with these undertakings may limit our ability to reorganize our operations, relocate personnel or activities, enter into certain collaborations or partnerships or access Aeponyx technologies. Any failure to comply with these commitments could result in regulatory penalties, restrictions on future acquisitions or investments in Canada,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reputational harm. Furthermore, these obligations may require us to allocate resources to maintain operations and technology development in Canada, which could adversely affect our operational flexibility, cost structure, and ability to pursue strategic opportunities elsewhere.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 regulations may restrict or delay future changes in control or significant acquisitions involving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under a group structure that is subject to French foreign investment regulations, particularly in sectors deemed sensitive such as quantum technology and defense. Under French law, the direct or indirect acquisition of a significant interest in us by non-EU persons or entities (or by multiple non-EU acquirers acting in concert) is subject to prior authorization by the French Ministry of the Economy. These regulations are intended to protect French national interests and may apply to any future takeover, significant acquisition of our shares, or change of control involving us, provided the acquirers are non-EU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any attempt by a non-EU investor (or by multiple non-EU acquirers acting in concert) to acquire a controlling stake or to cross the threshold of 10% or more of the voting rights may be delayed, restricted, or even prohibited by the French authorities. If a non-EU investor acquires 10% or more of our voting rights without the prior authorization of the French Ministry of the Economy, such acquisition may be considered null and void under French law or such investor may lose its voting rights and/or rights to any dividends and be subject to fines or other criminal and civil liabilities. These restrictions may limit the ability of shareholders to freely transfer their shares or to effect a change of control, and may adversely affect the market value and liquidity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it operates,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patent protection for our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in large part, on our ability to obtain and maintain patent protection in the United States, France and other countries with respect to our technology. We have sought, and intends to seek, to protect our proprietary position by filing patent applications in Europe, the United States and other jurisdictions related to our technology that are important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pending and future patent applications may not result in patents being issued which protect our technology or products or which effectively prevent others from commercializing competitive technologies. Because patent applications in most countries are confidential for a period of time after filing, and some remain so until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our licensors were the first to file a patent application relating to any particular aspect of a product. Foreign patents may be subject also to opposition or comparable proceedings in the corresponding foreign patent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pursued or maintained, and may not pursue or maintain in the future, patent protection for our technologies in every country or territory in which we may sell our products. In addition, the laws of some countries do not protect intellectual property rights to the same extent as European laws and federal and state laws in the United States. Consequently, we may not be able to prevent third parties from infringing our patents in all countries outside the European Economic Area (the “</w:t>
      </w:r>
      <w:r>
        <w:rPr>
          <w:rFonts w:ascii="Times New Roman PS Std;serif" w:hAnsi="Times New Roman PS Std;serif"/>
          <w:b/>
          <w:i w:val="false"/>
          <w:caps w:val="false"/>
          <w:smallCaps w:val="false"/>
          <w:sz w:val="20"/>
        </w:rPr>
        <w:t>EEA</w:t>
      </w:r>
      <w:r>
        <w:rPr>
          <w:rFonts w:ascii="Times New Roman PS Std;serif" w:hAnsi="Times New Roman PS Std;serif"/>
          <w:b w:val="false"/>
          <w:i w:val="false"/>
          <w:caps w:val="false"/>
          <w:smallCaps w:val="false"/>
          <w:sz w:val="20"/>
        </w:rPr>
        <w:t>”) or the United States, or from selling or importing products that infringe our patents in and into the EEA or the United States or other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scope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 patent is not conclusive as to its inventorship, scope, validity, or enforceability, and our patents may be challenged in the courts or patent offices in EEA countries, the United States, and other jurisdictions. Such challenges may result in loss of exclusivity or in patent claims being narrowed, invalidated, or held unenforceable, which could limit our ability to stop others from using or commercializing similar or identical technology and products or could limit the duration of the patent protection of our technology and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our employees are generally required to assign their intellectual property rights to us, there can be no assurance that such assignments will be effective or enforceable in all circumstances, or that former employees will not challenge the scope or validity of such assignments, which could result in disputes, litigation, or claims over the ownership of intellectual property developed during their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owned and in-licensed patents may be subject to a reservation of rights by one or more third parties. As a result, such third parties may have certain rights, including “march-in” rights, to such patent rights and technology. When new technologies are developed with such partners, they generally obtain certain rights in any resulting patents, including a nonexclusive license authorizing the party to use the invention for noncommercial purposes. These rights may permit the funding partner to disclose our confidential information to third parties and to exercise “march-in” rights to use or allow third parties to use our licensed technology. The funding partner can exercise its “march-in” rights if it determines that action is necessary because we fail to achieve practical application of the government-funded technology, to meet requirements of federal regulations, or to give preference to the United States or other country industry. In addition, our rights in such inventions may be subject to certain requirements to manufacture products embodying such inventions in the United States or other countries. Any exercise by the funding partners of such rights could harm our competitive position,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develop technologies that are similar to our technology platforms but that are not covered by the claims of any patents, should they issue, that we own or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not have been the first to file patent applications covering certain of our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independently develop similar or alternative technologies or duplicate any of our technologies without infringing our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pending patent applications will not lead to issued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issued patents that we own or licenses may not provide us with any competitive advantages or may be held invalid or unenforceable as a result of legal challenges;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competitors might conduct research and development activities in the United States and other countries where we do not have patent rights, and then use the information learned from such activities to develop competitive products for sale in our major commercial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additional proprietary technologies that are patentable;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have an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Patent and Trademark Office (the “</w:t>
      </w:r>
      <w:r>
        <w:rPr>
          <w:rFonts w:ascii="Times New Roman PS Std;serif" w:hAnsi="Times New Roman PS Std;serif"/>
          <w:b/>
          <w:i w:val="false"/>
          <w:caps w:val="false"/>
          <w:smallCaps w:val="false"/>
          <w:sz w:val="20"/>
        </w:rPr>
        <w:t>USPTO</w:t>
      </w:r>
      <w:r>
        <w:rPr>
          <w:rFonts w:ascii="Times New Roman PS Std;serif" w:hAnsi="Times New Roman PS Std;serif"/>
          <w:b w:val="false"/>
          <w:i w:val="false"/>
          <w:caps w:val="false"/>
          <w:smallCaps w:val="false"/>
          <w:sz w:val="20"/>
        </w:rPr>
        <w:t xml:space="preserve">”) and various foreign governmental patent agencies require compliance with a number of procedural, documentary, fee payment, and other similar provisions during the patent application process. In addition, periodic maintenance fees, renewal fees, annuity fees and various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use such patents and patent applications or stop a competitor from marketing technologies that are the same as or similar to our technology,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fail to apply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in part, upon our ability and the ability of others with whom we may collaborate to develop, manufacture, market, and sell our current and any future products and technologies without infringing, misappropriating, or otherwise violating the proprietary rights and intellectual property of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become party to, or be threatened with, adversarial proceedings or litigation regarding intellectual property rights with respect to our current and any future products and technology, including interference proceedings, post grant review and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before the USPTO. Foreign patents may be subject also to opposition or comparable proceedings in the corresponding foreign patent office.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successfully challenge the validity of any such United States patent in federal court, we would need to overcome a presumption of validity. As this is a high burden and requires us to present clear and convincing evidence as to the invalidity of any such United States patent claim, there is no assurance that a court of competent jurisdiction would invalidate the claims of any such United States patent. Moreover, given the vast number of patents in our field of technology, we cannot be certain that we do not infringe existing patents or that we will not infringe patents that may be granted in the future. While we may in the future decide to initiate proceedings to challenge the validity of these or other patents in the future, we may be unsuccessful, and courts or patent offices in Europe, the United States, and other jurisdictions could uphold the validity of any such patent. Even if we are successful in obtaining a first-instance judgement from a court or patent office that such patents are invalid, such judgements may be subject to appeal procedures which suspend revocation of the patent until a final appeal judgment is reached. This may result in many years of uncertainty and could ultimately lead to reversal of the original judgment and the patent being upheld. Furthermore, because patent applications can take many years to issue and are typically confidential for 18 months or more after filing, and because pending patent claims can be revised before issuance, there may be applications now pending which may later result in issued patents that may be infringed by the manufacture, use, or sale of our technology. Regardless of when filed, we may fail to identify relevant third-party patents or patent applications, or we may incorrectly conclude that a third-party patent is invalid or not infringed by our products or activities. If a patent holder believes that our products or technology platform infringes its patent, the patent holder may sue us even if we have received patent protection for our technology. Moreover, we may face patent infringement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that is the subject of the actual or threatened suit.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found to infringe a third party’s valid and enforceable intellectual property rights, we could be required to obtain a license from such third party to continue developing, manufacturing, and marketing our product(s) and technology. Under any such license, we would most likely be required to pay various types of fees, milestones, royalties, or other amounts. Moreover, we may not be able to obtain any required license on commercially reasonable terms or at all, and if such an instance arises, our ability to commercialize our products may be impaired or delayed, which could in turn significantly harm our business. Parties making claims against us may also seek and obtain injunctive or other equitable relief, which could effectively block our ability to further develop and commercialize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any return on our investment at all. If we are unable to successfully obtain rights to required third-party intellectual property rights or maintain the existing intellectual property rights we have, we may have to abandon development of our products and technologies,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We may also have to redesign our products, which may not be commercially or technically feasible or may require substantial time and expense.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that we have misappropriated the confidential information or trade secrets of third parties could have a similar negative impact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of our intellectual property rights, know-how, and technologies have been licensed from, co-owned with, or developed in collaboration with universities, research institutions, consortium partners, acquisition targets, and other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origins in academic research mean that aspects of our quantum computing technology may be subject to license agreements, co-ownership arrangements, or other contractual terms that impose limitations on our ability to exclusively use, sublicense, or commercialize such intellectual property. The terms of these arrangements may restrict our freedom to operate in certain fields of use, geographies, or applications, or may grant the counterparty rights to use or license the same or related intellectual property in ways that could be competitive with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Our platform and software stack rely in part on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components, which are licensed under various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license terms and the use of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presents a number of risks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open-source licenses require that any software that incorporates or is derived from open-source components be made available in source code form and be distributed under the same or similar license terms. If we have inadvertently incorporated open-source software into our proprietary software in a manner that triggers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we could be required to disclose portions of our proprietary source code, license our proprietary software on unfavorable terms, or re-engineer our software stack to eliminate the open-source components, any of which could be costly, time-consuming, and disruptive to our operations. Our compliance efforts with respect to open-source license terms may not always be sufficient, and the interpretation of certain open-source license provisions remains subject to legal uncertainty. In addition, open-source software is developed by distributed communities of contributors and may contain security vulnerabilities, bugs, or defects that are not promptly identified or remediated. Because we do not control the development or maintenance of open-source software it utilizes, there can be no assurance that such software will continue to be maintained, updated, or supported by the relevant community, or that security vulnerabilities will be addressed in a timely manner. Furthermore, the terms of open-source licenses may be changed or reinterpreted in ways that impose additional obligations or restrictions on our use of such software, and new versions of open-source components may be released under different or more restrictive license terms. Any of the foregoing could require us to devote significant resources to re-engineering portions of our software stack, delay product development or releases, expose us to intellectual property claims or litigation, or otherwise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involved in lawsuits to protect or enforce our patents or our other intellectual property rights, which could be expensive, time-consuming, and unsuccessful.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may infringe, misappropriate, or otherwise violate our patents, or our other intellectual property rights, or may allege that we have infringed on their intellectual property rights. To counter infringement or unauthorized use or defend against such claims, we may be required to file legal claims, which can be expensive and time-consuming and are likely to divert significant resources from our core business, including distracting our technical and management personnel from their normal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similar foreign authorities or made a materially misleading statement during prosecution. Third parties may also raise similar validity claims before the USPTO in post-grant proceedings such as </w:t>
      </w:r>
      <w:r>
        <w:rPr>
          <w:rFonts w:ascii="Times New Roman PS Std;serif" w:hAnsi="Times New Roman PS Std;serif"/>
          <w:b w:val="false"/>
          <w:i/>
          <w:caps w:val="false"/>
          <w:smallCaps w:val="false"/>
          <w:sz w:val="20"/>
        </w:rPr>
        <w:t>exparte</w:t>
      </w:r>
      <w:r>
        <w:rPr>
          <w:rFonts w:ascii="Times New Roman PS Std;serif" w:hAnsi="Times New Roman PS Std;serif"/>
          <w:b w:val="false"/>
          <w:i w:val="false"/>
          <w:caps w:val="false"/>
          <w:smallCaps w:val="false"/>
          <w:sz w:val="20"/>
        </w:rPr>
        <w:t> reexaminations,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products. Such a loss of patent protection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 Uncertainties resulting from the initiation and continuation of patent litigation or other proceedings could have an adverse effect on our ability to compete in the marketplace.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Developments in patent law could have a negative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either the patent laws or interpretation of the patent laws could increase the uncertainties and costs surrounding the prosecution of patent applications and the enforcement or defense of issued patents. For example, from time to time, the United States Congress, the USPTO, or similar foreign authorities may change the standards of patentability, and any such changes could have a negative impact on our business. In addition, the Leahy-Smith America Invents Act, or the America Invents Act, which was signed into law in September 2011, includes a number of significant changes to United States patent law. These changes include a transition from a “first-to-invent” system to a “first-to-file” system, changes to the way issued patents are challenged, and changes to the way patent applications are disputed during the examination process, such as allowing third-party submission of prior art to the USPTO during patent prosecution. These changes may favor larger and more established companies that have greater resources to devote to patent application filing and prosecution. Under a first-to-file system, assuming that other requirements for patentability are met, the first inventor to file a patent application generally will be entitled to the patent on an invention regardless of whether another inventor made the invention earlier. The USPTO has developed new regulations and procedures to govern the full implementation of the America Invents Act, and many of the substantive changes to patent law associated with the America Invents Act, and, in particular, the first-to-file provisions, became effective in March 2013. Substantive changes to patent law associated with the America Invents Act, or any subsequent United States legislation regarding patents, may affect our ability to obtain patents, and if obtained, to enforce or defend them. Accordingly, it is not clear what, if any, impact the America Invents Act will have on the cost of prosecuting our United States patent applications, our ability to obtain United States patents based on our discoveries, and our ability to enforce or defend any patents that may issue from our patent applications, all of which could have a material adverse effect on our business, prospects,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changes to or different interpretations of patent laws in the United States and other countries may permit others to use our or our partners’ discoveries or to develop and commercialize our technology and products without providing any compensation to us, or may limit the number of patents or claims we can obtain. Recent United States Supreme Court rulings have narrowed the scope of United States patent protection available in certain circumstances and weakened the rights of patent owners in certain situations. This combination of events has created uncertainty with respect to the validity and enforceability of patents, once obtained. Depending on future actions by the United States Congress, the federal courts, the USPTO, as well as similar bodies in other countries, the laws and regulations governing patents could change in unpredictable ways that could have a material adverse effect on our existing patent portfolio and our ability to protect and enforce our intellectual property in the future, which could have a material adverse effect on our business, prospects,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Investment in a French Company and our Status as a Foreign Private Issuer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report and we will continue to report financial results under IFRS, which differs in certain significant respect from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report and we will continue to report financial results under IFRS as issued by the IASB. There are and there may in the future be certain significant material differences between IFRS and U.S. GAAP. As a result, financial information and reported earnings of us for historical or future periods could be significantly different if they were prepared in accordance with U.S. GAAP. In addition, we are not required to and do not intend to provide a reconciliation between IFRS and U.S. GAAP as a foreign private issuer. As a result, you may not be able to meaningfully compare our financial statements under IFRS with those of companies that prepare financial statements under U.S. GAAP. Please see the section entitled “</w:t>
      </w:r>
      <w:r>
        <w:rPr>
          <w:rFonts w:ascii="Times New Roman PS Std;serif" w:hAnsi="Times New Roman PS Std;serif"/>
          <w:b w:val="false"/>
          <w:i/>
          <w:caps w:val="false"/>
          <w:smallCaps w:val="false"/>
          <w:sz w:val="20"/>
        </w:rPr>
        <w:t>Risks Related to our Foreign Private Issuer Status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société anonyme formed under the laws of the Republic of France, we are permitted to adopt certain home country practices in relation to corporate governance matters that differ significantly from the Nasdaq corporate governance listing standards applicable to domestic U.S. companies. These practices may afford less protection to shareholders than they would enjoy if we complied fully with the Nasdaq corporate governance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foreign private issuer as such term is defined in Rule 405 under the Securities Act and are a </w:t>
      </w:r>
      <w:r>
        <w:rPr>
          <w:rFonts w:ascii="Times New Roman PS Std;serif" w:hAnsi="Times New Roman PS Std;serif"/>
          <w:b w:val="false"/>
          <w:i/>
          <w:caps w:val="false"/>
          <w:smallCaps w:val="false"/>
          <w:sz w:val="20"/>
        </w:rPr>
        <w:t xml:space="preserve">société anonyme </w:t>
      </w:r>
      <w:r>
        <w:rPr>
          <w:rFonts w:ascii="Times New Roman PS Std;serif" w:hAnsi="Times New Roman PS Std;serif"/>
          <w:b w:val="false"/>
          <w:i w:val="false"/>
          <w:caps w:val="false"/>
          <w:smallCaps w:val="false"/>
          <w:sz w:val="20"/>
        </w:rPr>
        <w:t>formed under the laws of the Republic of France, and, are listed on the Nasdaq. The Nasdaq listing rules permit a foreign private issuer like us to follow the corporate governance practices of our home country. Certain corporate governance practices in France, which is our home country, may differ significantly from the Nasdaq corporate governance listing standards applicable to domestic U.S.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we are not required to have: (i) a majority of the board of directors consisting of independent directors; (ii) a compensation committee consisting of independent directors; (iii) a nominating and corporate governance committee consisting of independent directors; or (iv) 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have a majority-independent board of directors and a compensation committee consisting of independent directors. Subject to the foregoing, we intend to rely on the exemptions listed above. As a result, you may not be provided with the benefits of certain corporate governance requirements of the Nasdaq applicable to U.S. domestic public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are organized under the laws of France, the rights of our shareholders may differ from the rights they would have as shareholders of a United States corporation, which could adversely impact trading in Ordinary Shares and our ability to conduct equity financings, and our shareholders may face difficulties in protecting their interests, their ability to protect their rights through the U.S. federal courts may be limited and investors may be unable to recover in civil proceedings for U.S. securities laws violations.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The rights of our shareholders and the responsibilities of our directors and officers under French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our shareholders. French law similarly imposes duties on directors of a French company, including a duty to act in good faith and to exercise the care, diligence, and skill that a reasonably prudent person would exercise in comparable circumstances. However, French directors must act in the “corporate interest” (</w:t>
      </w:r>
      <w:r>
        <w:rPr>
          <w:rFonts w:ascii="Times New Roman PS Std;serif" w:hAnsi="Times New Roman PS Std;serif"/>
          <w:b w:val="false"/>
          <w:i/>
          <w:caps w:val="false"/>
          <w:smallCaps w:val="false"/>
          <w:sz w:val="20"/>
        </w:rPr>
        <w:t>intérêt social</w:t>
      </w:r>
      <w:r>
        <w:rPr>
          <w:rFonts w:ascii="Times New Roman PS Std;serif" w:hAnsi="Times New Roman PS Std;serif"/>
          <w:b w:val="false"/>
          <w:i w:val="false"/>
          <w:caps w:val="false"/>
          <w:smallCaps w:val="false"/>
          <w:sz w:val="20"/>
        </w:rPr>
        <w:t xml:space="preserve">). Additionally, under Delaware law, a shareholder may bring a derivative action on behalf of a company to enforce a company’s rights. French law also permits derivative-type actions. Pursuant to Article L.225-252 of the French Commercial Code, individual shareholders or groups of shareholders may bring an </w:t>
      </w:r>
      <w:r>
        <w:rPr>
          <w:rFonts w:ascii="Times New Roman PS Std;serif" w:hAnsi="Times New Roman PS Std;serif"/>
          <w:b w:val="false"/>
          <w:i/>
          <w:caps w:val="false"/>
          <w:smallCaps w:val="false"/>
          <w:sz w:val="20"/>
        </w:rPr>
        <w:t>action sociale ut singuli</w:t>
      </w:r>
      <w:r>
        <w:rPr>
          <w:rFonts w:ascii="Times New Roman PS Std;serif" w:hAnsi="Times New Roman PS Std;serif"/>
          <w:b w:val="false"/>
          <w:i w:val="false"/>
          <w:caps w:val="false"/>
          <w:smallCaps w:val="false"/>
          <w:sz w:val="20"/>
        </w:rPr>
        <w:t xml:space="preserve"> on behalf of the company to seek damages from directors for harm caused to the company. However, the procedural framework and scope of such actions differ from those under Delaware law. For claims other than those against directors, the decision to initiate legal proceedings generally lies with the company’s legal representative (e.g.,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in a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disclosure requirements applicable to us under French and European Union law differ from those applicable to U.S. issuers under the Exchange Act. While French and EU regulations, including the Transparency Directive, the Market Abuse Regulation and the Prospectus Regulation, impose substantial disclosure obligations on listed companies, the specific content, timing and format of such disclosures differ from the securities laws and regulations in the U.S., and there may be less publicly available information about us than is regularly published by or about U.S. issuers. In addition, while French law provides certain protections for minority shareholders, including mandatory tender offer rules, approval procedures for related-party transactions and judicial remedies against abuse of majority power (</w:t>
      </w:r>
      <w:r>
        <w:rPr>
          <w:rFonts w:ascii="Times New Roman PS Std;serif" w:hAnsi="Times New Roman PS Std;serif"/>
          <w:b w:val="false"/>
          <w:i/>
          <w:caps w:val="false"/>
          <w:smallCaps w:val="false"/>
          <w:sz w:val="20"/>
        </w:rPr>
        <w:t>abus de majorité</w:t>
      </w:r>
      <w:r>
        <w:rPr>
          <w:rFonts w:ascii="Times New Roman PS Std;serif" w:hAnsi="Times New Roman PS Std;serif"/>
          <w:b w:val="false"/>
          <w:i w:val="false"/>
          <w:caps w:val="false"/>
          <w:smallCaps w:val="false"/>
          <w:sz w:val="20"/>
        </w:rPr>
        <w:t>), these protections operate differently from, and in some respects may be less extensive than, those available under U.S. state corporation laws. Similarly, enforcement mechanisms and the availability of private litigation remedies differ between the two jurisdictions, with French law relying more on regulatory oversight by the AMF than on private securities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Judgments of U.S. courts, including those predicated on the civil liability provisions of the federal securities laws of the United States, may not be enforceable in French courts. As a result, holders of securities who obtain a judgment against us in the United States may not be able to require us to pay the amount of the judgment. It may not be possible for holders to effect service of process within the United States upon our directors and officers or to enforce against these persons, or us, judgments of United States courts predicated upon civil liability provisions of the federal securities laws of the United States. In addition, shareholders of French companies may not have standing to initiate a shareholders derivative action in a federal court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in France could be adversely affected by complex labor laws, union activity and potential labor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significant number of permanent employees in France, where labor laws provide employees with extensive protections, including rights to collective bargaining, consultation through works councils, and legal support through union representation.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in France are subject to complex labor regulations, and we may be required to consult with or obtain the opinion of employee representative bodies before implementing material operational changes. In addition, strikes and other labor disruptions could adversely impact our operations, delay strategic initiatives, and increase costs. Any failure to comply with French labor laws or manage labor relations effectively could materially and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Currency exchange rate fluctuations present a risk to our operations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based in France expose us to fluctuations in exchange rates between the Euro and other major currencies, notably the U.S. dollar. Given the volatile nature of currency markets, these fluctuations may significantly impact our results. For example, an appreciation of the Euro against the U.S. dollar could increase the relative price of our services for clients outside the Eurozone, potentially reducing demand and impacting revenue. Conversely, a depreciation of the Euro against the U.S. dollar would increase our costs for any goods or services we procure or pay for in dollars, further affecting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exposure to foreign exchange risk is considerable, making our cash flow and earnings susceptible to currency market volatility. This volatility could materially affect our financial performance, particularly if adverse exchange rate movements reduce our competitive pricing or increase the relative cost of key imports.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legislation may change, which could adversely affect the tax treatment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French tax authorities may disagree with the tax treatment described in this prospectus, and their determination may be upheld by a court. Future legislation, regulations, administrative rulings or court decisions may adversely affect the accuracy of the statements regarding French tax treatment herein. Changes in French tax laws, including changes to withholding tax rates, the taxation of dividends or capital gains, or the rules applicable to tax treaties, could increase the tax burden on shareholders. Such changes may be implemented on a prospective or retroactive basis, and there can be no assurance that any such changes would not materially affect the financial position of shareholders or the value of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law may limit our ability to deduct interest for tax purposes, which could increase our tax burden.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French tax resident company, we are subject to interest deductibility limitations set forth under French tax law, including those provided under Articles 212 bis and 39, 1-3° of the French Tax Code. Under Article 212 bis, net financial expenses may only be deductible up to the higher of (i) €3 million or (ii) 30% of the taxpayer’s “tax EBITDA” (as defined under French tax law), subject to certain adjustments and conditions. Additional restrictions may apply to interest paid to related parties or in connection with intra-group financing arrangements. These limitations may be further tightened under ATAD II provisions which aim at dealing with the deduction of certain expenses or the taxation of certain income which are recognized in the context of a cross-border hybrid situation. To the extent we incur significant indebtedness, including in connection with future financings, these rules could limit the deductibility of a material portion of our interest expenses and thereby increase our effective tax rate. This could have a material adverse effect on our business,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tax loss carry-forwards may be limited, which could adversely affect our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incurred significant operating losses since our incorporation and, as a result, has accumulated substantial tax loss carry-forwards. Under French tax law, tax loss carry-forwards may be carried forward indefinitely but their utilization is subject to an annual cap: only one million euro increased by 50% of the excess profits may be offset in any given fiscal year. In addition, the ability to effectively use such tax loss carry-forwards will depend on a variety of factors, including: (i) our ability to generate sufficient future taxable income against which tax losses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utilized; (ii) changes in applicable French tax law and regulations, including potential further restrictions on the use of tax loss carry-forwards; (iii) the outcome of present and future tax audits or disputes with the French tax authorities; and (iv) potential limitations on the transfer or use of tax losses in connection with the Business Combination, the Reincorporation Merger or future reorganizations. If we are unable to fully utilize our tax loss carry-forwards, our effective tax rate may increase,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French financial transaction tax may apply to certain acquisitions of our shares, which could affect the liquidity and market value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Article 235 ter ZD of the French Tax Code, a financial transaction tax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xml:space="preserve">”) (as of now, Nasdaq has not been formally recognized as a regulated market by the AMF). The tax is currently levied at a rate of 0.4% of the acquisition price of the shares. If our market capitalization were to exceed the applicable threshold and we were to be admitted on a French or European market, or a foreign regulated market formally recognized as such by the AMF or if the scope of the financial transaction tax is broadened, acquisitions of our shares on the secondary market could become subject to this tax. The imposition of such a tax could increase transaction costs for investors, reduce the liquidity of our shares and adversely affect their market value. We have no control over future changes to the rate, scope or conditions of the financial transaction tax. The Merger itself should not trigger any financial transaction tax 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Like in other countries, French government authorities may, in certain extreme cases for public interests, have the power to exercise nationalization, expropriation, requisition, or compulsory licensing with respect to our assets, properties or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public authorities with certain powers to nationalize, expropriate, requisition, compulsorily license or otherwise interfere with private property rights in limited circumstances, where public necessity, national defense, public health or other essential public interests are implicated. These powers may apply to assets and properties located in France and, in certain circumstances, to intellectual property rights. Under French constitutional principles, deprivation of property is permitted only where public necessity, legally determined, clearly requires it and subject to just and prior compensation. Although such powers are never or very rarely used (and never outside special historical circumstances), the following can be said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defense legislation, like legislation in other countries, permits requisition of persons, goods and services in circumstances involving actual or foreseeable threats to activities essential to the life of the nation, protection of the population, territorial integrity, continuity of institutions or France’s defense commitments. Requisition is typically not a lasting deprivation of property but an obligation for the owner to produce certain goods and services or permit the State to use its assets. Requisition measures are financially compensated but may not include lost net profits. EU intellectual property law provides for compulsory patent licensing mechanisms in the event of declared crisis or for public health, national economic needs or defense purposes. If such measures were applied to our intellectual property, we could lose exclusivity or be required to license rights to third parties or the State, for compensation determined by agreement or by a French court. Although these measures are conceived to be exceptional and subject to compensation mechanisms, there can be no assurance that compensation would be adequate to totally offset the harm resulting from any such measure.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nationalization, expropriation, requisition, compulsory licensing or similar governmental action affecting our assets, business operations or intellectual property rights could materially adversely affect our ability to conduct our business, commercialize our products, or generate revenues, and could have a material adverse effect on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exercise of BSPCEs and sale of underlying shares may give rise to adverse tax and social security consequences for us and for BSPCE holders and could negatively affect investors’ financial returns and the liquidity of their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BSPCEs are equity warrants governed by Article 163 </w:t>
      </w:r>
      <w:r>
        <w:rPr>
          <w:rFonts w:ascii="Times New Roman PS Std;serif" w:hAnsi="Times New Roman PS Std;serif"/>
          <w:b w:val="false"/>
          <w:i/>
          <w:caps w:val="false"/>
          <w:smallCaps w:val="false"/>
          <w:sz w:val="20"/>
        </w:rPr>
        <w:t xml:space="preserve">bis </w:t>
      </w:r>
      <w:r>
        <w:rPr>
          <w:rFonts w:ascii="Times New Roman PS Std;serif" w:hAnsi="Times New Roman PS Std;serif"/>
          <w:b w:val="false"/>
          <w:i w:val="false"/>
          <w:caps w:val="false"/>
          <w:smallCaps w:val="false"/>
          <w:sz w:val="20"/>
        </w:rPr>
        <w:t>G of the French Tax Code, that entitle eligible employees and corporate officers to subscribe for shares at a predefined exercise price under certain conditions. BSPCEs can benefit from a preferential tax and social security regime under French law, provided that a number of conditions are satisfied both at the level of the issuing company and at the level of the individual beneficiaries at the time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company level, BSPCE eligibility requires for French entities, among other conditions, that the issuing company (i) is a joint stock company (</w:t>
      </w:r>
      <w:r>
        <w:rPr>
          <w:rFonts w:ascii="Times New Roman PS Std;serif" w:hAnsi="Times New Roman PS Std;serif"/>
          <w:b w:val="false"/>
          <w:i/>
          <w:caps w:val="false"/>
          <w:smallCaps w:val="false"/>
          <w:sz w:val="20"/>
        </w:rPr>
        <w:t>société par actions</w:t>
      </w:r>
      <w:r>
        <w:rPr>
          <w:rFonts w:ascii="Times New Roman PS Std;serif" w:hAnsi="Times New Roman PS Std;serif"/>
          <w:b w:val="false"/>
          <w:i w:val="false"/>
          <w:caps w:val="false"/>
          <w:smallCaps w:val="false"/>
          <w:sz w:val="20"/>
        </w:rPr>
        <w:t>) incorporated less than fifteen years prior to the date of grant, (ii) is subject to French corporate income tax, (iii) has at least 15% (prior to 2026, 25%) of our share capital held directly and continuously by natural persons or by entities that themselves meet certain holding requirements, and (iv) is not formed as a result of a restructuring, extension of a pre-existing activity, or takeover of such activity, unless additional conditions are met. At the beneficiary level, BSPCEs may only be granted to employees and certain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exercise price of BSPCEs must be set at a level at least equal to the fair market value of the underlying shares at the time of grant. The French tax authorities provide further guidance in their published comments on valuation methodologies, including the potential application of discounts. Prior to our listing, the determination of the fair market value for a privately held company preparing to go public involved inherent uncertainty and required the application of valuation methods, even if documented properly, that are subject to potential challenge of the French tax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successful challenge by the French tax or social security authorities, holders of BSPCEs could face a reclassification of their exercise gains as employment income and thus support personal income tax at progressive rates, social security contributions, together with late payment interest and potential penalties. In parallel, we, as the employer, could also be liable for social security contributions on the reclassified amounts, together with late payment interest and potential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Business Combination or any subsequent change in our corporate structure, shareholding or tax residence could affect the eligibility conditions for BSPCEs or the ability of us to issue new BSPCEs in the future but would not affect the qualification of outstanding BSPCEs. Changes in applicable French tax law, administrative guidance, or case law, including any legislative reforms affecting the taxation of equity-based compensation, could also adversely modify the tax and social security treatment of outstanding or future BSPCEs. Any such adverse consequences could negatively affect investors’ financial returns and the liquidity of their investment, reduce the attractiveness of BSPCEs as a compensation and retention tool and have a material adverse effect on our ability to attract, retain and motivate key employees.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Ownership of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guarantee of a positive return on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 make no guarantee in respect of the market price of Ordinary Shares, and any acquirer of our shares, whether by direct issue, conversion, or acquisition on-market, may not necessarily make a profit on any capital expended in the acquisition. The value of Ordinary Shares will be determined by the stock market and will be subject to a range of factors beyond the control of our directors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publicly traded stock is affected by many variables not directly related to the success of the company. These factors include, but are not limited to, the demand for, and availability of, the company’s shares, movements in domestic interest rates, exchange rates, fluctuations in the French, United States and international stock markets, and general domestic and economic activity. Securities markets can experience high levels of price and volume volatility, and the market price of securities of many companies can experience wide fluctuations which have not necessarily been related to the operating performance, underlying asset values or prospects of such companies. There can be no assurance that such fluctuations will not affect the price of our securities going forward.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our Ordinary Shares will be approved for listing on the regulated market of Euronext, and if such listing is successful, a dual listing of our Ordinary Shares may adversely affect the liquidity and value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Business Combination Agreement have agreed to use their reasonable best efforts to obtain listing of Ordinary Shares on the regulated market of Euronext, subject to market conditions and considerations, within 12 months from the closing of the Business Combination. We may not be able to meet the initial listing requirements for the Euronext, and even if Ordinary Shares are so listed, we may be unable to maintain the listing of such securities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such a secondary listing on Euronext (in addition to Nasdaq), trading of Ordinary Shares in these markets will take place in different currencies (U.S. dollars on Nasdaq and Euros on Euronext), at different times (resulting from different time zones, different trading days and different public holidays in the United States and France) and with different settlement mechanics. The trading prices of Ordinary Shares on these two markets may differ due to these and other factors and we cannot predict the effect of this dual listing on the value of Ordinary Shares. Any decrease in the price of Ordinary Shares on Euronext could cause a decrease in the trading price of Ordinary Shares on Nasdaq and vice versa. Investors could seek to sell or buy Ordinary Shares to take advantage of any price differences between the markets through a practice referred to as arbitrage. Any arbitrage activity could create unexpected volatility in both the trading prices on one exchange and Ordinary Shares available for trading on the other exchange. Further, the dual listing of Ordinary Shares may reduce the liquidity of these securities in one or both markets and may adversely affect the development of an active trading market for Ordinary Shares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implementation of Regulation (EU) 2019/452 of 19 March 2019, the scope of French foreign investment screening has been expanded to cover additional economic sectors. Prior authorization from the French Minister of Economy is required for investments in companies that (i) participate in the exercise of public authority, even occasionally, (ii) may affect public order, public security or national defense interests, or (iii) are engaged in the research, production or trade of arms, ammunition, explosives or related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presence of French State interests and the application of French foreign investment regulations, our shareholders may face significant restrictions on the transfer of their shares or on the ability to effect a change of control. In particular, under the French foreign investment control regime, the direct or indirect acquisition by a non-EU acquirer (or by multiple non-EU acquirers acting in concert) of 10% or more of the voting rights of the Company requires the prior authorization of the French Ministry of the Economy. This approval process may be lengthy, subject to conditions, or even denied, depending on the nature of the acquirer and the strategic importance of our business activities. See “</w:t>
      </w:r>
      <w:r>
        <w:rPr>
          <w:rFonts w:ascii="Times New Roman PS Std;serif" w:hAnsi="Times New Roman PS Std;serif"/>
          <w:b w:val="false"/>
          <w:i/>
          <w:caps w:val="false"/>
          <w:smallCaps w:val="false"/>
          <w:sz w:val="20"/>
        </w:rPr>
        <w:t>Risk Factors — Risks Related to Litigation and Government Regulation — Foreign investment regulations may restrict or delay future changes in control or significant acquisitions involving 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restrictions may result in delays or prevent certain transactions from being completed, and may be outside the control of our shareholders. As a result, the liquidity and market value of our securities may be adversely affected, and shareholders may be unable to realize the full value of their investment or to exit their position in a timely manner. Furthermore, these regulatory requirements may limit our ability to attract new investors, pursue certain strategic transactions, or respond flexibly to changes in our shareholder base.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our activities will develop,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among our existing executive officers, directors and their affiliates may prevent new investors from influencing significant corporate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of the Business Combination, our directors, executive officers and their affiliates as a group beneficially own approximately 18.7% of the issued and outstanding Ordinary Shares. As a result, these shareholders will be able to exercise a significant level of control over all matters requiring shareholder approval, including the election of directors, any amendment of the articles of association and approval of significant corporate transactions. This control could have the effect of delaying or preventing a change of control or changes in management and will make the approval of certain transactions difficult or impossible without the support of these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and trading volume of our Ordinary Shares may be volatile and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markets, including Nasdaq on which have listed our Ordinary Shares, have from time to time experienced significant price and volume fluctuations. Even if an active, liquid and orderly trading market develops and is sustained for Ordinary Shares, the market prices of Ordinary Shares may be volatile and could decline significantly. In addition, the trading volumes in Ordinary Shares may fluctuate and cause significant price variations to occur. If the market prices of Ordinary Shares decline significantly, you may be unable to resell your Ordinary Shares at or above the market price of Ordinary Shares as of the date immediately following the Business Combination. There can be no assurance that the market prices of Ordinary Shares will not fluctuate widely or decline significantly in the future in response to a number of factors, including, among others,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realization of any of the risk factors presented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differences in our estimates, or in the estimates of analysts, for our revenues, results of operations, cash flows, liquidity or financial condition;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our competitors of significant business developments including acquisitions, dispositions, strategic partnerships, joint venture or capital commitments;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acquisitions or expansion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involvement in litigation and government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 of Ordinary Shares or other securities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in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volume of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potential or perceived control, accounting or reporting problems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principles, policies and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events or factors, including but not limited to those resulting from infectious diseases, health epidemics and pandemics, natural disasters, war, acts of terrorism or responses to these events;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market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stock markets have experienced extreme price and volume fluctuations. Broad market and industry factors may materially harm the market price of Ordinary Shares, regardless of our operating performance. The trading price may also be adversely affected by third parties attempting to drive the market price up or down, including short sellers and others who may publish rumors or commentary, including anonymously on social media, which can negatively affect our stock price and increase volatility. In the past, following periods of volatility in the market price of a company’s securities, securities class action litigation has often been instituted against that company. If we were involved in any similar litigation it could incur substantial costs and our management’s attention and resources could be diverted. The impact of any of the foregoing on our management, employees, partners, customers and operating results could, in turn, exacerbate volatility in the market price and trading volume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redeem your unexpired warrants prior to their exercise at a time that is disadvantageous to you, thereby making your warrants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the ability to redeem outstanding New Pasqal Warrants at any time after they become exercisable and prior to their expiration, at a price of $0.01 per warrant, provided that the last reported sales price of our shares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We will not redeem New Pasqal Warrants unless (i) a registration statement under the Securities Act covering the sale of the Ordinary Shares issuable upon exercise of New Pasqal Warrants is effective and a current prospectus relating to those Ordinary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 available throughout the Measurement Period and the Redemption Period or (ii) we require holders to exercise the New Pasqal Warrants on a “cashless basis.” Redemption of the outstanding New Pasqal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 and Investment Warrants will become exercisable for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an aggregate of 17,333,333 Ordinary Shares will become exercisable in accordance with the terms of the Warrant Amendment Agreement and the existing Warrant Agreement governing those securities. These warrants will become exercisable 30 days after the completion of the Business Combination. The exercise price of these warrants will be $11.50 per share. To the extent such warrants are exercised, additional Ordinary Shares will be issued, which will result in dilution to the holders of Ordinary Shares and increase the number of shares eligible for resale in the public market. In addition, the Investment Warrants are currently exercisable and will expire five years from the date of Closing. The exercise price of these warrants is $12.00 per Ordinary Share, subject to certain anti-dilution and other adjustments as set forth in the Terms and Conditions governing such warrants. Sales of substantial numbers of such shares in the public market or the fact that such warrants may be exercised could adversely affect the market price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issue additional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additional ordinary shares or other equity securities of equal or senior rank in the future in connection with, among other things, capital-raising initiatives, future investments and acquisitions, or repayment of outstanding indebtedness, in most cases without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additional shares or other equity securities of equal or senior rank would have the following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existing shareholders’ proportionate ownership interest will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eligible for resale in the public market will increase;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cash available per share, including for payment of dividends in the future, may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relative voting strength of each share of previously outstanding ordinary shares may be diminished;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our Ordinary Shares may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indebtedness could have significant negative consequences for our business, results of operations and financial condition,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our vulnerability to adverse economic and industry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obtain additional financing on reasonable terms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the dedication of a portion of our cash flow from operations to service our indebtedness, thereby reducing the amount of our cash flow available for other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changes in our business;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possible competitive disadvantage with less leveraged competitors and competitors that may have better access to capital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we will continue to maintain sufficient cash reserves or that our business will generate cash flow from operations at levels sufficient to permit us to pay principal, premium, if any, and interest on our indebtedness, or that our cash needs will not increase. Further, in the ordinary course of its business, we have also entered into, and may in the future be required to enter into, bank guarantees and similar arrangements to support its performance obligations under customer contracts. These arrangements may require us to pledge cash deposits or other collateral, which could reduce our liquidity and financial flexibility. If we are unable to generate sufficient cash flow or otherwise obtain funds necessary to make required payments, or if we fail to comply with the various requirements of the Senior Unsecured Convertible Bonds or any indebtedness which we may incur in the future, we would be in default, which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March 2026 Financing may impact our financial results, result in dilution to our shareholders, create downward pressure on the price of our Ordinary Shares, and restrict our ability to raise additional capital or take advantage of future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conditions to conversion set forth in the Senior Unsecured Convertible Bond Terms and Conditions, a holder of the Senior Unsecured Convertible Bonds has the right, at such holder’s option, to convert all or any portion of its bonds into Ordinary Shares at an initial conversion rate of $12.00 per share. The conversion rate and conversion price are subject to customary adjustments upon the occurrence of certain events, including with respect to future issuances or sales of New Pasqal Ordinary Shares at prices less than the conversion price then in effect, and the conversion price is subject to a one-time downward VWAP reset six months after issuance, subject to a floor price. Please see the section entitled “Description of Our Securities — Senior Unsecured Convertible Bonds and Investment Warrants”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Ordinary Shares are issued to the Investors upon conversion of the Senior Unsecured Convertible Bonds or the exercise of the Investment Warrants, there will be dilution to our shareholders and the market price of Ordinary Shares may decrease due to the additional selling pressure in the market. Any downward pressure on the price of Ordinary Shares caused by the sale, or potential sale, of shares issuable upon conversion of the Senior Unsecured Convertible Bonds or exercise of the Investment Warrants could also encourage short sales by third parties, creating additional selling pressure on our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Senior Unsecured Convertible Bonds contain certain restrictions and limitations that could impact our ability to operate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10% of the Senior Unsecured Convertible Bonds issued as of the Closing Date remain held by the investors in the March 2026 Financing and their respective affiliates, we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the Company, or commence or consent to any bankruptcy proceeding relating to the Company;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Ordinary Shares, other than stock repurchased at cost from former employees and consultants in connection with the cessation of their service or pursuant to the terms of any equity incentive plan of the Company; (v) enter into any transaction with an affiliate, other than the issuance of equity or awards to eligible participants under our incentive plan, equity plan or equity-based compensation plan, or with respect to employment, consulting or award agreements with respect to executive officers of the Company, in each case regardless of whether such person (or such person’s affiliates) would be considered an affiliate of the Company; or (vi) incur or guarantee any new indebtedness, including secured and/or senior debt, other than equipment leases or trade payables incurred in the ordinary course of business. These restrictions could affect our ability to operate our business, may limit our ability in the future to satisfy currently outstanding obligations and may limit our ability to take advantage of potential business opportunities as they arise.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publish inaccurate or unfavorable research or cease publishing research about us, our share price and trading volume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Ordinary Shares will depend, in part, on the research and reports that securities or industry analysts publish about our business. We may be unable to sustain coverage by well-regarded securities and industry analysts. If either none or only a limited number of securities or industry analysts maintain coverage of the Company, or if these securities or industry analysts are not widely respected within the general investment community, the demand for Ordinary Shares could decrease, which might cause its share price and trading volume to decline significantly. In the event that we obtain securities or industry analyst coverage or, if one or more of the analysts who cover us downgrade their assessment of the Company or publish inaccurate or unfavorable research about our business, the market price and liquidity for Ordinary Shares could be negatively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operating and financial performance in any given period does not meet the guidance provided to the public or the expectations of investment analysts, the market price of our Ordinary Shares may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but are not obligated to, provide public guidance on our expected operating and financial results for future periods. Any such guidance will consist of forward-looking statements, subject to the risks and uncertainties described in this filing. Our actual results may not always be in line with or exceed any guidance we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the market price of our ordinary shares may decline as well. There can be no assurance that we will issue or continue to issue public guidance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results may vary significantly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revenue and operating results to vary from period to period.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factors that may cause our financial results to fluctuate from period to period include those addressed elsewhere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and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customer contracts that affect the timing of revenue recognition;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availability and costs for hourly and management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of our products, especially in new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interest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long-lived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macroeconomic conditions, both nationally and locally;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size and scope of our revenue arrangements with our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related to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 preferences and competitive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strategic relationships or existing contracts with any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lengthy customer sales cycle, leading to difficulty in forecasting the timing of purchasing decisions;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to new markets;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commodity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requirements of being a public company may strain our resources, divert our management’s attention and affect our ability to attract and retain qualified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additional legal, accounting and other expenses following the Business Combination. We are subject to the reporting requirements of the Exchange Act, the Sarbanes-Oxley Act, the Dodd-Frank Act, the Nasdaq listing requirements and other applicable securities rules and regulations. These expenses may increase even more if we no longer qualify as an “emerging growth company,” as defined in Section 2(a) of the Securities Act. The Exchange Act requires, among other things, that we file annual and current reports with respect to the Company’s business and operating results. The Sarbanes-Oxley Act requires, among other things, that we maintain effective disclosure controls and procedures and internal control over financial reporting. Management may not be able to effectively and timely implement controls and procedures that adequately respond to the increased regulatory compliance and reporting requirements applicable to us as a public company. We may need to hire more employees or engage outside consultants to comply with these requirements, which will increase our costs and expenses. If we are not able to implement the requirements of Section 404 of the Sarbanes-Oxley Act, including any additional requirements once we are no longer an emerging growth company, in a timely manner or with adequate compliance, we may not be able to assess whether internal controls over financial reporting are effective, which may subject us to adverse regulatory consequences and could harm investor confidence and the market price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has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management’s attention from implementing our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obtain such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audit committee, compensation committee and nominating and corporate governance committee, and qualified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the time and resources necessary to resolve them and negative publicity, could have an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we are unable to remediate these material weaknesses, or if we fail to establish and maintain effective internal control over financial reporting, we may be unable to timely produce or accurately report our financial results or prevent fraud. We may identify additional material weaknesses in our internal controls over financial reporting which we may not be able to remedy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2025, management identified material weaknesses in our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weaknesses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 and formalization of our control environment and entity-level ICFR governance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 effective risk assessment process covering financial reporting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deficiencies in information technology general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insufficiently designed and documented review controls over significant and complex accounting judgments and non-routine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in internal resources, both in terms of personnel quantity and technical expertise, including with respect to IFRS and SEC reporting and disclosure requirements as a first-time SEC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an internal control environment and governance framework commensurate with our financial reporting requirements. Certain financial reporting responsibilities were concentrated among a limited number of individuals, segregation of duties was not consistently implemented across all relevant processes, and documentation and formalization of key controls and independent review activities were not sufficiently formalized and documented.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 sufficiently formalized and documented process to identify and assess changes in our business and operations that could impact financial reporting risks. Our risk assessment activities were primarily based on management experience and ad hoc processes, without a comprehensive and periodically updated framework aligned with the COSO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information technology general controls over systems relevant to financial reporting. In particular, deficiencies were identified in change management processes, user access controls (including privileged access), periodic access reviews, governance over and oversight of third-party IT service providers, and documentation of system implementations and modifications. In addition, certain key financial data and reports relied on manual processing and adjustments, increasing the risk of data integrity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to ensure that significant and non-routine accounting matters and judgments are consistently documented and independently reviewed on a timely basis. These matters include, among others, business combinations, share-based compensation, capital instruments, and other complex or non-recurring transactions. Although analyses were performed, including with the assistance of external advisors, effective controls were not consistently designed and maintained to ensure such analyses were appropriately documented, reviewed and approved on a timely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first-time SEC registrant, we did not have sufficient internal capabilities or formalized processes to address SEC reporting and disclosure requirements. In addition, we had limited internal resources, both in terms of personnel quantity and technical expertise, including with respect to IFRS and SEC reporting and disclosure requirements, which impacted both the design and operating effectiveness of our internal controls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is a reasonable possibility that a material misstatement of our annual or interim consolidated financial statements would not be prevented or detected on a timely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adjustments identified in connection with the preparation of our consolidated 2024 and 2025 financial statements were recorded and corrected prior to issuance, the existence of these material weaknesses could result in future misstatements if not remediated.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Neither we nor our independent registered public accounting firm undertook a comprehensive assessment of our internal control over financial reporting under the Sarbanes-Oxley Act. However, in connection with the preparation of our consolidated financial statements, management identified the material weaknesses described above. Had we performed a formal assessment of our internal control over financial reporting, or had our independent registered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firm performed an audit of our internal control over financial reporting, additional control deficiencies may have been identified. We are required to comply with the requirements of Section 404 of the Sarbanes-Oxley Act, and we expect to continue to enhance our internal control framework as part of this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initiated a remediation plan to address these material weaknesses. However, the remediation efforts are ongoing and will require significant time, costs and resources. We intend to complete the remediation of these material weaknesses as expeditiously as possible, aiming to get remediation completed prior to the date on which we cease to qualify as an “emerging growth company”. We cannot provide assurance that we will be able to complete full remediation by then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remediation plan includes, among other measures: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our finance organization, including the recruitment and training of personnel with appropriate IFRS and SEC public company reporting expertise;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enhancing the documentation of our accounting policies, technical accounting analyses and key judgments;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formalized control procedures, including independent review and approval controls over complex and non-routine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implementing a more formalized financial reporting risk assessment process aligned with the COSO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IT governance and implementing more robust information technology general controls;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continuing to leverage external advisors to support complex accounting and SEC reporting matters during this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filing: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remediation actions have been initiated,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preparation of technical accounting documentation and position papers;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involvement of external advisors to support complex accounting and SEC reporting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remediation actions remain to be implemented,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full formalization and implementation of control procedures across key financial reporting processes;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and implementation of a comprehensive financial reporting risk assessment framework;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further strengthening of internal finance resources and technical expertise;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and testing of IT general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remediation plan will be fully implemented within the expected timeframe, that the remediation measures will be sufficient to address the identified material weaknesses,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and expect to continue to incur material costs in connection with our remediation efforts, including external advisory fees, incremental personnel costs, training costs, IT control enhancement costs, and process documentation and implementation costs. These costs are not expected to be capitalized and will be recognized as incurred.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it cannot be certain if the reduced SEC reporting requirements applicable to emerging growth companies will make our Ordinary Shares less attractive to investors, which could have a material and adverse effect on us, including our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and the rules under the Exchange Act requiring the filing with the SEC of quarterly reports on Form 10-Q containing unaudited financial and other specified information, and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our shareholders may not have access to certain information they deem important. We cannot predict if investors will find Ordinary Shares less attractive because we rely on these exemptions. If some investors do find Ordinary Shares less attractive as a result, there may be a less active trading market and share price for Ordinary Shares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expected that we will pay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expected that we will retain most, if not all, of our available funds and any future earnings to fund the development and growth of its business. In addition, we are a holding company and our subsidiaries are located in various locations, including Europe, Canada, the United States, Saudi Arabia, South Korea and the United Kingdom. Part of our primary internal sources of funds to meet our cash needs will be our share of the dividends, if any, paid by our subsidiaries. The distribution of dividends to us from the subsidiaries in certain markets where we operate is subject to restrictions imposed by the applicable laws and regulations in these markets. As a result, it is not expected that we will pay any cash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shares of the Company will appreciate in value or that the trading price of the shares will not decline. Holders of Ordinary Shares should not rely on an investment in Ordinary Shares as a source for any future dividend income.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sellers may engage in manipulative activity intended to drive down the market price of our ordinary shares, which could also result in related regulatory and governmental scrutiny, among other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 short seller report about us could result in an inquiry or formal investigation from a governmental organization or other regulatory body, including any inquiry from the SEC or the U.S. Department of Justice, which could result in a material diversion of our management’s time and could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rights of our shareholders may be different from the rights of shareholders of U.S. companies and provisions of our Articles of Association and the Board Internal Regulations and applicable law may impede or discourage a takeover, which could deprive our investors of the opportunity to receive a premium for our Ordinary Shares or to make changes in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The rights of shareholders and the responsibilities of members of our board of directors may differ from the rights of shareholders and duties of directors in companies governed by the laws of U.S. jurisdictions. In the performance of its duties, our board of directors are required under French law to act in the corporate interest (intérêt social)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shareholders’ ability to bring derivative actions on behalf of a company, or to bring actions against third parties to recover indirect losses, may be more limited than in certain U.S. jurisdictions. Generally, shareholders may only bring an individual claim against a third party where the acts or omissions of such third party also constitute a tort toward the shareholder, causing the shareholder direct, personal and distinct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limited collective litigation mechanisms. While certain forms of collective actions exist under French law, including actions brought by approved associations of investors, such mechanisms are more limited than class actions available in certain U.S. jurisdictions and may not be available with respect to acts affecting shareholders’ rights. Approved associations of shareholders or investors may be permitted to bring claims in respect of wrongful acts harming the “collective interest” of the investors or of certain categories of investors. Such associations may request that the court order responsible persons to comply with relevant legal requirements to end irregularities or eliminate their effects. They may also seek indemnification in the name of individual investors who have suffered individual damages if mandated by at least two such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French corporate law and our Articles of Association and the Board Internal Regulations may have the effect of concentrating control over certain corporate decisions and transactions in the hands of our board of directors. As a result, holders of our shares may encounter differences in the manner in which they may protect their interests in connection with actions taken by members of our board of directors than if we were incorporated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several provisions of our Articles of Association and the Board Internal Regulations and the laws of the Republic of France may discourage, delay or prevent a merger, consolidation or acquisition that shareholders may consider favorable, such as requirements to disclose the crossing of ownership thresholds. Under French law, our shareholder meeting may empower our board of directors to issue shares, or warrants to subscribe new shares, and restrict or exclude preemptive rights on the issue of those shares or warrants, including in the context of takeover offers. These provisions could impede the ability of our shareholders to benefit from a change in control and, as a result, could materially adversely affect the market price of Ordinary Shares and our shareholders’ ability to realize any potential change of control premium. French law generally does not provide appraisal rights comparable to those available under certain U.S. laws to shareholders seeking to challenge the consideration payable in connection with certain mergers or similar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provisions of bylaws that waive or limit the civil liability of directors are prohibited. However, French law allows </w:t>
      </w:r>
      <w:r>
        <w:rPr>
          <w:rFonts w:ascii="Times New Roman PS Std;serif" w:hAnsi="Times New Roman PS Std;serif"/>
          <w:b w:val="false"/>
          <w:i/>
          <w:caps w:val="false"/>
          <w:smallCaps w:val="false"/>
          <w:sz w:val="20"/>
        </w:rPr>
        <w:t>sociétés anonymes</w:t>
      </w:r>
      <w:r>
        <w:rPr>
          <w:rFonts w:ascii="Times New Roman PS Std;serif" w:hAnsi="Times New Roman PS Std;serif"/>
          <w:b w:val="false"/>
          <w:i w:val="false"/>
          <w:caps w:val="false"/>
          <w:smallCaps w:val="false"/>
          <w:sz w:val="20"/>
        </w:rPr>
        <w:t xml:space="preserve"> to contract for and maintain liability insurance against civil liabilities incurred by any of their directors and officers arising from acts performed in the course of their duties as directors or officers of the company. While fines or criminal penalties cannot be indemnified or insured under French law, insurance policies may cover certain defense costs incurred in connection with criminal proceedings, subject to applicable law and policy terms. We intend to maintain liability insurance for our directors and officers, including insurance against liability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Act. We have or will maintain insurance on behalf of our directors and executive officers. We have entered into agreements with our directors and executive officers to provide contractual indemnification and plan to enter into indemnification agreements with future directors and executive officers.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arrangements may discourage shareholders from bringing actions against our directors and executive officers for alleged breaches of duty. These provisions also may reduce the likelihood of litigation against directors and executive officers, even though such an action, if successful, might otherwise benefit us and our shareholders. Furthermore, a shareholder’s investment may be adversely affected to the extent the company pays any costs of settlement or damages against directors and officers pursuant to these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total outstanding shares are restricted from immediate resale but may be sold into the market in the near future. This could cause the market price of our Ordinary Shares to drop significantly, even if our business is doing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Ordinary Shares in the public market could occur at any time. These sales, or the perception in the market that the holders of a large number of shares intend to sell shares, could reduce the market price of Ordinary Shares. Although the Sponsor, certain shareholders of Legacy Pasqal, certain shareholders of Bleichroeder and certain directors and officers will be prohibited from transferring any securities of the Company until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we consummate a liquidation, merger, capital stock exchange, reorganization or other similar transaction that results in all of our shareholders having the right to exchange their shares for cash, securities or other property, in each case, subject to certain customary exceptions, these shares may be sold after the expiration or early termination or release of the respective applicable lock-up provisions. As restrictions on resale end and the registration statements are available for use, the market price of Ordinary Shares could decline if the holders of currently restricted shares sell them or are perceived by the market as intending to sell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restrictions on resale end, the sale or possibility of sale of these shares could have the effect of increasing the volatility in our share price or the market price of Ordinary Shares could decline if the holders of currently restricted shares sell them or are perceived by the market as intending to sell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only significant asset is our ownership interest in the Pasqal SAS business, and such ownership may not be sufficiently profitable or valuable to enable us to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direct operations and no significant assets other than our ownership interest in the Pasqal SAS business. We depend on the Pasqal SAS business for distributions, loans and other payments to generate the funds necessary to meet our financial obligations, including our expenses as a publicly traded company. The earnings from, or other available assets of, the Pasqal SAS business may not be sufficient to pay dividends or make distributions or loans to enable us to pay any dividends on the ordinary shares or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sections entitled “</w:t>
      </w:r>
      <w:r>
        <w:rPr>
          <w:rFonts w:ascii="Times New Roman PS Std;serif" w:hAnsi="Times New Roman PS Std;serif"/>
          <w:b w:val="false"/>
          <w:i/>
          <w:caps w:val="false"/>
          <w:smallCaps w:val="false"/>
          <w:sz w:val="20"/>
        </w:rPr>
        <w:t>Management’s Discussion and Analysis of Financial Condition and Results of Operations — Liquidity and Capital Resources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Foreign Private Issuer Status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foreign private issuer, we are exempt from certain Nasdaq corporate governance requirements and a number of rules under the U.S. securities laws. You will therefore not have the same protections afforded to shareholders of companies that are subject to Nasdaq requirements and the information available to holders of our Ordinary Shares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qualify as a “foreign private issuer,” as defined in the SEC’s rules and regulations, and, consequently, we are not subject to all of the disclosure requirements applicable to public companies organized within the United States. For example, we are exempt from certain rules under the Exchange Act including, among other things: (i) the rules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Exchange Act requiring the filing of annual reports on Form 10-K, quarterly reports on Form 10-Q and current reports on Form 8-K with the SEC; (ii) the sections of the Exchange Act regulating the solicitation of proxies, consents, or authorizations in respect of a security registered under the Exchange Act and (iii) the selective disclosure rules by issuers of material nonpublic information under Regulation FD.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are not required to file periodic reports and financial statements with the SEC as frequently or within the same time frames as U.S. companies with securities registered under the Exchange Act. We currently prepare our financial statements in accordance with IFRS. We are not required to file financial statements prepared in accordance with or reconciled to U.S. GAAP so long as its financial statements are prepared in accordance with IFRS as issued by the International Accounting Standards Board. We are not required to comply with Regulation FD, which imposes restrictions on the selective disclosure of material information to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will file an annual report on Form 20-F within four months of the close of each fiscal year ended December 31 and furnish reports on Form 6-K relating to certain material events promptly after we publicly announces these events. However, because of the above exemptions for foreign private issuers, which we intend to rely on, the information we are required to file with or furnish to the SEC will be less extensive and less timely compared to that required to be filed with the SEC by U.S. domestic issuers. Accordingly, our shareholders may receive less or different information about us than investors would receive about a United States domestic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foreign private issuer status is made annually on the last business day of an issuer’s most recently completed second fiscal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Business Combination Agreement, we have agreed to use commercially reasonable efforts to maintain our status as a foreign private issuer, however, in the future,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it were a company incorporated in the United States. If this were to happen, we would likely incur substantial costs in fulfilling these additional regulatory requirements, including potentially costs related to the preparation of financial statements in accordance with U.S. GAAP, and members of our management would likely have to divert time and resources from other responsibilities to ensuring these additional regulatory requirements are fulfilled.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certain information may be provided by us in accordance with French law, which may differ in substance or timing from such disclosure requirements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governance rules of Nasdaq require listed companies to have, among other things, a majority of independent board members and independent director oversight of executive compensation, nomination of directors and corporate governance matters. However, as a foreign private issuer, we will be permitted to, and may, follow home country practice in lieu of the above requirements, subject to certain exceptions. As long as we rely on the foreign private issuer exemption for certain of these corporate governance standards, a majority of our Board will not be required to be independent directors and our compensation committee and nominating and corporate governance committee are not required to be composed entirely of independent directors. Therefore, our Board’s approach to governance may be different from that of a board of directors consisting of a majority of independent directors, and, as a result, management oversight may be more limited than if it were subject to all the corporate governance standards of Nasdaq. Accordingly, you will not have the same protections afforded to shareholders of companies that are subject to all the corporate governance requirements of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lose our foreign private issuer status in the future, which could result in significant additional cost and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future, we would lose our “foreign private issuer” status if a majority of our shareholders, directors or management are U.S. citizens or residents and we fail to meet additional requirements necessary to avoid loss of that status. Although we have elected to comply with certain U.S. regulatory provisions, the loss of our “foreign private issuer” status would make such provisions mandatory. The regulatory and compliance costs to us under U.S.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laws as a U.S. domestic issuer may be significantly higher. If we are not a foreign private issuer, we will be required to file periodic reports and registration statements on U.S. domestic issuer forms with the SEC, which are more detailed and extensive than the forms required to be filed by a foreign private issuer. For example, the annual report on Form 10-K requires domestic issuers to disclose executive compensation information on an individual basis with specific disclosure regarding the domestic compensation philosophy, objectives, annual total compensation (base salary, bonus, and equity compensation) and potential payments in connection with change in control, retirement, death or disability, while the annual report on Form 20-F permits foreign private issuers to disclose compensation information on an aggregate basis.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as a shareholder, as French law provides substantially different protection when compared to the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Republic of France. The rights of holders of shares are governed by French law, including the provisions of the articles of association. These rights differ in certain respects from the rights of shareholders in typical U.S. corporations.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Commerce Code. The rights of our shareholders and the responsibilities of our directors and officers under French law are different from those applicable to a corporation incorporated in the United States. Further, under French law, there may be differences in the type, timing and format of publicly available information about us compared with that regularly published by or about U.S. issuers. In addition, the legal and regulatory framework governing the securities of French companies differs from that applicable to U.S. issuers, and French laws and regulations in respect of corporate governance matters provide protections to minority shareholders that differ in scope and operation from those available under state corporation laws in the United States. Therefore, our shareholders may face differences in the manner and extent to which they may protect their interests in connection with actions taken by our directors, officers or principal shareholders compared with shareholders of corporations incorporated in the United States. As a result of these differences, the rights and remedies available to our shareholders may differ from those available to shareholders of U.S.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may be difficult to enforce a U.S. judgment against our directors and officers outside the United States, or to assert U.S. securities law claims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our directors and executive officers are not residents of the United States, and the majority of our assets and the assets of these persons are located outside the United States. As a result, it may be difficult or impossible for investors to effect service of process upon us within the United States or other jurisdictions, including judgments predicated upon the civil liability provisions of the federal securities laws of the United States. See “</w:t>
      </w:r>
      <w:r>
        <w:rPr>
          <w:rFonts w:ascii="Times New Roman PS Std;serif" w:hAnsi="Times New Roman PS Std;serif"/>
          <w:b w:val="false"/>
          <w:i/>
          <w:caps w:val="false"/>
          <w:smallCaps w:val="false"/>
          <w:sz w:val="20"/>
        </w:rPr>
        <w:t>Description of Our Securities</w:t>
      </w:r>
      <w:r>
        <w:rPr>
          <w:rFonts w:ascii="Times New Roman PS Std;serif" w:hAnsi="Times New Roman PS Std;serif"/>
          <w:b w:val="false"/>
          <w:i w:val="false"/>
          <w:caps w:val="false"/>
          <w:smallCaps w:val="false"/>
          <w:sz w:val="20"/>
        </w:rPr>
        <w:t>”.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investors should be aware that there is uncertainty as to whether the courts of the Republic of France would recognize and enforce judgments of U.S. courts obtained against our directors or management or against the selling shareholder predicated upon the civil liability provisions of the securities laws of the United States or any state in the United States. There is also uncertainty as to whether the courts of the Republic of France would entertain original actions against our directors or officers or against the selling shareholder predicated upon the securities laws of the United States or any state in the United States. As a result of the difficulty associated with enforcing a judgment against us, you may not be able to collect any damages awarded by either a U.S. or foreign court.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Tax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or become a PFIC, which could result in adverse U.S. federal income tax consequences to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that is included in the holding period of a U.S. Holder of Ordinary Shares or Warrants, such U.S. Holder may be subject to certain adverse U.S. federal income tax consequences and may be subject to additional reporting requirements. There can be no assurance that we will not be treated as a PFIC for any taxable year. For a more detailed discussion with respect to our PFIC status, see the section entitled “</w:t>
      </w:r>
      <w:r>
        <w:rPr>
          <w:rFonts w:ascii="Times New Roman PS Std;serif" w:hAnsi="Times New Roman PS Std;serif"/>
          <w:b w:val="false"/>
          <w:i/>
          <w:caps w:val="false"/>
          <w:smallCaps w:val="false"/>
          <w:sz w:val="20"/>
        </w:rPr>
        <w:t>Material U.S. Federal Income Tax Considerations — Passive Foreign Investment Company Rules.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new tax legislation introduced by governments may change the current tax treatment, which could adversely impact our cash 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tax treatment is subject to the enactment of, or changes in, tax laws, regulations and treaties, or the interpretation thereof, tax policy initiatives and reforms under consideration and the practices of tax authorities in various jurisdictions, all of which could change on a prospective or retroactive basis. Such changes may include, but are not limited to, the taxation of operating income, investment income, dividends received or (in the specific context of withholding tax) dividends paid, payroll taxes, fringe benefit taxes, and changes in royalties. We are unable to predict what tax reform may be proposed or enacted in the future or what effect such changes would have on our business, but such changes, to the extent they are brought into tax legislation, regulations, policies or practices, could affect our financial position overall or effective tax rates in the future, reduce post-tax returns to our shareholders, and increase the complexity, burden and cost of tax compliance.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Ordinary Shares and Private Placement Warrants offered by the Selling Securityholders pursuant to this prospectus will be sold by the Selling Securityholders for their respective accounts. We will not receive any of the proceeds from these sales. We will pay certain expenses associated with the registration of the securities as described in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up to an aggregate of approximately $199.3 million or €171.6 million from the exercise of the Warrants, assuming the exercise in full of all of the Warrants for cash. We will receive up to an aggregate of approximately $390.6 million or €336.3 million from the exercise of the Investment Warrants, assuming an exercise price of $7.80 per Ordinary Share and assuming the exercise in full of all of the Investment Warrants for cash. We expect to use the net proceeds from such exercises for general corporate purposes. We will have broad discretion over the use of proceeds from such exercises. There is no assurance that the holders of the Warrants or the Investment Warrants will elect to exercise any or all of such Warrants or Investment Warrants. To the extent that the Warrants or the Investment Warrants are exercised on a “cashless basis,” the amount of cash we would receive from such exercises will decrease.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MARKET INFORMATION FOR SECURITIES AND DIVIDEND POLICY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listed on Nasdaq under the symbols “PSQL” and “PSQLW,”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the Ordinary Shares to date. We may retain future earnings, if any, for future operations, expansion and debt repayment and have no current plans to pay cash dividends for the foreseeable future. 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 Payment of dividends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We do not anticipate declaring any cash dividends to holders of the Ordinary Shares in the foreseeable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References in this section of the prospectus to “Pasqal”, “the Company”, “we”, “us”, or “our” refer to Legacy Pasqal and its subsidiaries prior to the completion of the Business Combination and to New Pasqal and its subsidiaries after giving effect to the Business Combination as the context requires.    The following discussion and analysis provides information which Pasqal’s management believes is relevant to an assessment and understanding of its results of operations and financial condition. The discussion and analysis should be read together with the sections of this prospectus entitled “Our Business”, and Pasqal’s audited consolidated financial statements and related notes thereto that are included elsewhere in this prospectus. In addition to historical consolidated financial information, this discussion and analysis contains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based upon current expectations that involve risks, uncertainties and assumptions. See the section entitled “Cautionary Note Regarding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Actual results and timing of selected events may differ materially from those anticipated in these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as a result of various factors, including those set forth under “Risk Factors” or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develops neutral-atom quantum processing units (“</w:t>
      </w:r>
      <w:r>
        <w:rPr>
          <w:rFonts w:ascii="Times New Roman PS Std;serif" w:hAnsi="Times New Roman PS Std;serif"/>
          <w:b/>
          <w:i w:val="false"/>
          <w:caps w:val="false"/>
          <w:smallCaps w:val="false"/>
          <w:sz w:val="20"/>
        </w:rPr>
        <w:t>QPUs</w:t>
      </w:r>
      <w:r>
        <w:rPr>
          <w:rFonts w:ascii="Times New Roman PS Std;serif" w:hAnsi="Times New Roman PS Std;serif"/>
          <w:b w:val="false"/>
          <w:i w:val="false"/>
          <w:caps w:val="false"/>
          <w:smallCaps w:val="false"/>
          <w:sz w:val="20"/>
        </w:rPr>
        <w:t>”), which we believe are designed to transform cutting-edge scientific breakthroughs into real-world business solutions across multiple industries. Its neutral-atom technology is at the forefront of developing scalable QPUs that deliver highly-scalable computational capabilities, operate in standard data centers, and enable precise qubit control and improved coherence times in both analog and digital modes, supporting consistent performance across a range of computational workloads.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employs a modular approach to its neutral-atom processors, enabling the expansion of qubit arrays without compromising performance or fidelity. Its technology supports the arrangement of large numbers of neutral atoms in both two- and three-dimensional configurations, paving the way for systems with tens of thousands of physical qubits and hundreds of logical qubits by the end of this decade. By continuously improving qubit coherence, accuracy of operations through gate fidelity, and error correction strategies, Pasqal seeks to ensure that its quantum systems remain reliable and accurate as they scale, overcoming key barriers to widespread quantum adoption.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Pasqal works with a diverse set of customers and strategic partners globally, including IBM (Pasqal is part of the IBM quantum network), NVIDIA, Google, Microsoft, and leading high-performance computing centers such as GENCI/CEA (“</w:t>
      </w:r>
      <w:r>
        <w:rPr>
          <w:rFonts w:ascii="Times New Roman PS Std;serif" w:hAnsi="Times New Roman PS Std;serif"/>
          <w:b/>
          <w:i w:val="false"/>
          <w:caps w:val="false"/>
          <w:smallCaps w:val="false"/>
          <w:sz w:val="20"/>
        </w:rPr>
        <w:t>GENCI</w:t>
      </w:r>
      <w:r>
        <w:rPr>
          <w:rFonts w:ascii="Times New Roman PS Std;serif" w:hAnsi="Times New Roman PS Std;serif"/>
          <w:b w:val="false"/>
          <w:i w:val="false"/>
          <w:caps w:val="false"/>
          <w:smallCaps w:val="false"/>
          <w:sz w:val="20"/>
        </w:rPr>
        <w:t>”), CINECA, and Forschungszentrum Jülich. Pasqal continues to invest in research partnerships and cloud-delivery capabilities to advance the practical adoption of quantum computing and expand the range of real-world applications supported by its technology.</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signing of the Business Combination Agreement, 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and its subsidiaries became the wholly-owned subsidiaries of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a new holding company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Following the consummation of the Pasqal Reorganization, Legacy Pasqal owned 100% of the share capital of Pasqal SAS and its subsidiaries.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Business Combination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 special purpose acquisition company, Bleichroeder Acquisition France Merger Sub 2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a subsidiary of Bleichroeder, and Pasqal consummated the Business Combination , pursuant to which, among other things: (i) Bleichroeder merged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remaining as the surviving company (the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Surviving Corporation</w:t>
      </w:r>
      <w:r>
        <w:rPr>
          <w:rFonts w:ascii="Times New Roman PS Std;serif" w:hAnsi="Times New Roman PS Std;serif"/>
          <w:b w:val="false"/>
          <w:i w:val="false"/>
          <w:caps w:val="false"/>
          <w:smallCaps w:val="false"/>
          <w:sz w:val="20"/>
        </w:rPr>
        <w:t>”) and (ii) Pasqal merging with and into Bleichroeder Surviving Corporation, with Bleichroeder Surviving Corporation continuing as the surviving entity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or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Following the consummation of the Merger, Bleichroeder Surviving Corporation changed its name to Pasqal Holding 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each then issued and outstanding “Class Seed” ordinary share, common ordinary share, “Class A” ordinary share, “Class B” ordinary share and “Class C” ordinary share of Legacy Pasqal, in each case with a par value of €0.10 per share, was exchanged for New Pasqal ordinary shares using an exchange ratio of approximately 22.736, resulting in the issuance of 199,999,960 New Pasqal ordinary shares to the former shareholders of Legacy Pasqal.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capital reorganization in accordance with IFRS as issued by the IASB (as defined below). Under this method of accounting, Bleichroeder is treated as the “acquired” company for financial reporting purposes, and Legacy Pasqal is the accounting “acquirer”. The Business Combination is treated as the equivalent of New Pasqal issuing its ordinary shares in exchange for the net assets of Bleichroeder. As a result, the net assets of Bleichroeder is stated at historical cost, with no goodwill or other intangible assets recorded. In accordance with IFRS 2 (as defined below),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for 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of the Merger, Pasqal consummated a financing pursuant to the securities purchase agreement dated as of March 4, 2026 and as amended on May 23, 2026 entered into by Bleichroeder and Merger Sub with certain investors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whereby New Pasqal issued $312.5 million aggregate principal amount of senior unsecured convertible bonds initially convertible into 26,041,667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32,552,083 warrants exercisable at $12.00 per New Pasqal ordinary share (the “</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for an aggregate subscription price of $250.0 million, reflecting a 20% original issue discount in a private placement (the “</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The Investment Warrants are currently exercisable and will expire five years from the Closing Date.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Unsecured Convertible Bonds and the Investment Warrants were accounted for in accordance with International Accounting Standards (“</w:t>
      </w:r>
      <w:r>
        <w:rPr>
          <w:rFonts w:ascii="Times New Roman PS Std;serif" w:hAnsi="Times New Roman PS Std;serif"/>
          <w:b/>
          <w:i w:val="false"/>
          <w:caps w:val="false"/>
          <w:smallCaps w:val="false"/>
          <w:sz w:val="20"/>
        </w:rPr>
        <w:t>IAS</w:t>
      </w:r>
      <w:r>
        <w:rPr>
          <w:rFonts w:ascii="Times New Roman PS Std;serif" w:hAnsi="Times New Roman PS Std;serif"/>
          <w:b w:val="false"/>
          <w:i w:val="false"/>
          <w:caps w:val="false"/>
          <w:smallCaps w:val="false"/>
          <w:sz w:val="20"/>
        </w:rPr>
        <w:t>”) 32, </w:t>
      </w:r>
      <w:r>
        <w:rPr>
          <w:rFonts w:ascii="Times New Roman PS Std;serif" w:hAnsi="Times New Roman PS Std;serif"/>
          <w:b w:val="false"/>
          <w:i/>
          <w:caps w:val="false"/>
          <w:smallCaps w:val="false"/>
          <w:sz w:val="20"/>
        </w:rPr>
        <w:t>Financial Instruments: Presentation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IAS 32</w:t>
      </w:r>
      <w:r>
        <w:rPr>
          <w:rFonts w:ascii="Times New Roman PS Std;serif" w:hAnsi="Times New Roman PS Std;serif"/>
          <w:b w:val="false"/>
          <w:i w:val="false"/>
          <w:caps w:val="false"/>
          <w:smallCaps w:val="false"/>
          <w:sz w:val="20"/>
        </w:rPr>
        <w:t>”) and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9</w:t>
      </w:r>
      <w:r>
        <w:rPr>
          <w:rFonts w:ascii="Times New Roman PS Std;serif" w:hAnsi="Times New Roman PS Std;serif"/>
          <w:b w:val="false"/>
          <w:i w:val="false"/>
          <w:caps w:val="false"/>
          <w:smallCaps w:val="false"/>
          <w:sz w:val="20"/>
        </w:rPr>
        <w:t>”). The Senior Unsecured Convertible Bonds require settlement through the delivery of a variable number of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w:t>
      </w:r>
      <w:r>
        <w:rPr>
          <w:rFonts w:ascii="Times New Roman PS Std;serif" w:hAnsi="Times New Roman PS Std;serif"/>
          <w:b/>
          <w:i w:val="false"/>
          <w:caps w:val="false"/>
          <w:smallCaps w:val="false"/>
          <w:sz w:val="20"/>
        </w:rPr>
        <w:t>FVTPL</w:t>
      </w:r>
      <w:r>
        <w:rPr>
          <w:rFonts w:ascii="Times New Roman PS Std;serif" w:hAnsi="Times New Roman PS Std;serif"/>
          <w:b w:val="false"/>
          <w:i w:val="false"/>
          <w:caps w:val="false"/>
          <w:smallCaps w:val="false"/>
          <w:sz w:val="20"/>
        </w:rPr>
        <w:t>”),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fair value measurements include significant unobservable inputs, any day-one gain or loss can be deferred in accordance with IFRS 9 and recognized in profit or loss over the term of the instruments on a straight-line basis. New Pasqal deferred the day-one loss and allocated it between the Senior Unsecured Convertible Bonds and the Investment Warrants based on their relative fair values, resulting in initial carrying amounts of both instruments that were equal to their respective fair values net of the respective allocated day-one loss.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Technological Achievement</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PROQCIMA Agreement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early 2026, Pasqal achieved a key technological milestone under the French government’s PROQCIMA agreement. As part of this program, Pasqal presented the results of its work to experts from the French Direction Générale de l’Armement and members of the scientific community appointed by the Agence Nationale de la Recherche.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this review, Pasqal successfully demonstrated, under live conditions, an initial capability to construct and operate the key building blocks of a logical qubit, reflecting progress toward more fault-tolerant quantum computing architectures. The demonstration was designed to evidence a repeatable and robust capability rather than an isolated experimental result. The PROQCIMA agreement, led by the French Ministry of Armed Forces under the France 2030 investment plan and the national quantum technologies strategy, aims to support the development of two quantum computers with 128 logical qubits by 2032.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XPRIZE Quantum Applications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2026, Pasqal was selected as a finalist in the XPRIZE Quantum Applications competition, a three-year, $5 million global competition supported by Google Quantum AI, Google.org, and the Geneva Science and Diplomacy Anticipator (GESDA). The competition is designed to identify teams whose quantum computing solutions are grounded in clear, real-world use cases and ready for rigorous benchmarking against classical methods. Pasqal was selected from a competitive pool of 62 wildcard registration submissions and is one of five wildcard finalists advancing alongside the Phase I cohort into Phase II, where teams will be evaluated on quantified impact, hardware feasibility, and demonstrable advantage over classical approaches.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Aeponyx PIC Packaging Center of Competency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Pasqal announced that, through its Canadian subsidiary Aeponyx Enterprises Inc. (“</w:t>
      </w:r>
      <w:r>
        <w:rPr>
          <w:rFonts w:ascii="Times New Roman PS Std;serif" w:hAnsi="Times New Roman PS Std;serif"/>
          <w:b/>
          <w:i w:val="false"/>
          <w:caps w:val="false"/>
          <w:smallCaps w:val="false"/>
          <w:sz w:val="20"/>
        </w:rPr>
        <w:t>Aeponyx</w:t>
      </w:r>
      <w:r>
        <w:rPr>
          <w:rFonts w:ascii="Times New Roman PS Std;serif" w:hAnsi="Times New Roman PS Std;serif"/>
          <w:b w:val="false"/>
          <w:i w:val="false"/>
          <w:caps w:val="false"/>
          <w:smallCaps w:val="false"/>
          <w:sz w:val="20"/>
        </w:rPr>
        <w:t>”), it had launched a Center of Competency in Photonic Integrated Circuit (PIC) Packaging, based at the C2MI (MiQro Innovation Collaborative Center) in Bromont, Quebec, that is intended to establish a domestic supply chain for advanced PIC packaging in Canada supporting the photonic layer of Pasqal’s neutral-atom quantum computing hardware roadmap.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Collaboration with KACST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Pasqal entered into a research collaboration agreement with King Abdulaziz City for Science and Technology (“</w:t>
      </w:r>
      <w:r>
        <w:rPr>
          <w:rFonts w:ascii="Times New Roman PS Std;serif" w:hAnsi="Times New Roman PS Std;serif"/>
          <w:b/>
          <w:i w:val="false"/>
          <w:caps w:val="false"/>
          <w:smallCaps w:val="false"/>
          <w:sz w:val="20"/>
        </w:rPr>
        <w:t>KACST</w:t>
      </w:r>
      <w:r>
        <w:rPr>
          <w:rFonts w:ascii="Times New Roman PS Std;serif" w:hAnsi="Times New Roman PS Std;serif"/>
          <w:b w:val="false"/>
          <w:i w:val="false"/>
          <w:caps w:val="false"/>
          <w:smallCaps w:val="false"/>
          <w:sz w:val="20"/>
        </w:rPr>
        <w: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Trends and Key Factors Affecting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supported by continued growth in commercial activity through (i) direct sales of its QPUs and (ii) sales of QPU-related services consisting of cloud services or cloud access to the QPUs, research and development, software and algorithms, and operating and maintenance. Pasqal’s revenue was €16.4 million for the year ended December 31, 2025 compared to €3.5 million for the year ended December 31, 2024; this revenue growth is driven by increasing demand for neutral-atom quantum computing solutions across research, industrial, and public-sector customers. Recent equity financings have strengthened Pasqal’s liquidity position, providing capital to further scale its quantum computing platforms, advance system deployments, and accelerate the development of field-ready solutions, as well as for general corporate purposes. This enhanced capital base supports continued investment in technology development, product commercialization, and market expansion, positioning Pasqal to pursue sustained long-term growth. The following represent key trends and factors affecting its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Technology Milestones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Pasqal’s potential commercial opportunities depend on its ability to demonstrate the technological feasibility and performance of its neutral-atom quantum computing platform and to continue advancing its technology in a timely manner in order to remain competitive in a rapidly evolving industry. Achieving these objectives requires the successful execution of several technological milestones, including scaling hardware capacity, improving qubit performance, and further developing the software and cloud infrastructure supporting Pasqal’s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development strategy combines two complementary approaches. In the near term, Pasqal is advancing analog quantum computing capabilities based on physical qubits, which may support the development of initial commercial applications. At the same time, Pasqal continues to pursue a longer-term roadmap focused on digital fault-tolerant quantum computing, which aims to address errors that may occur during quantum computations.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along this roadmap is generally assessed through a number of technical performance indicators, including the number of qubits available in a system, the repetition rate of quantum operations, and the fidelity of quantum gate operations. Improvements in these metrics are expected to contribute over time to the performance and scalability of Pasqal’s quantum computing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also investing in a range of supporting technologies designed to enhance the performance and scalability of its hardware platform. Among these technologies are photonic integrated circuits (“</w:t>
      </w:r>
      <w:r>
        <w:rPr>
          <w:rFonts w:ascii="Times New Roman PS Std;serif" w:hAnsi="Times New Roman PS Std;serif"/>
          <w:b/>
          <w:i w:val="false"/>
          <w:caps w:val="false"/>
          <w:smallCaps w:val="false"/>
          <w:sz w:val="20"/>
        </w:rPr>
        <w:t>PICs</w:t>
      </w:r>
      <w:r>
        <w:rPr>
          <w:rFonts w:ascii="Times New Roman PS Std;serif" w:hAnsi="Times New Roman PS Std;serif"/>
          <w:b w:val="false"/>
          <w:i w:val="false"/>
          <w:caps w:val="false"/>
          <w:smallCaps w:val="false"/>
          <w:sz w:val="20"/>
        </w:rPr>
        <w:t>”), which are being explored as part of Pasqal’s hardware architecture and may contribute to improved qubit control and system integration. PICs represent one element within a broader set of enabling technologies under development as part of Pasqal’s research and development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remains subject to significant technological uncertainty and rapid innovation. Competing quantum computing architectures, as well as alternative computing approaches, including advances in classical high-performance computing and artificial intelligence, may affect the pace of adoption of quantum computing technologies. As a result, Pasqal’s ability to develop commercially viable solutions will depend in part on its capacity to execute its technology roadmap while adapting to technological developments and competitive dynamics within the broader computing landscape.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Pasqal’s business is conducted with various governments, consisting of the governments and government agencies in Europe, Canada, United States of America, and South Korea. Since many of Pasqal’s government customers and government funding programs are subject to budget constraints, Pasqal’s continued performance under these contracts or award of additional contracts from these agencies, could be jeopardized by governmental regulations, public procurement processes and spending reductions or budget cutbacks from the governments and government agencies. As a result, the changes in government spending levels and the timely funding thereof could impact Pasqal’s financial performance. The long-term outlook for Pasqal’s business is influenced by government funding priorities, the diversity of Pasqal’s programs and customers, and Pasqal’s ability to evolve its products and services and successfully execute on its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growth depends in part on its ability to identify, establish, and maintain strategic partnerships. Historically, Pasqal has relied upon third parties to operate its platform, house some of its systems, provide its services, and provide certain specialized components, such as laser components, to operate its business. Any disruption to, or interference with, Pasqal’s reliance on these third-party providers or facilities could adversely affect its business, results of operations, and financial condition. Pasqal expects to continue evaluating and pursuing additional academic, institutional, and commercial partnership opportunities that are complementary to its technology roadmap and long-term business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entered into the Saudi MoU (as defined below) with Eleven Ventures to establish a commercial joint venture to deploy, commercialize and scale Pasqal’s quantum computing systems across the Kingdom of Saudi Arabia and the wider region; however, no definitive agreements have been entered into and, accordingly, no financial effect has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Macroeconomic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Results of operations have varied and may continue to vary due to uncertainties in the current economic and political context. Negative conditions in the general economy, including inflationary factors, increases in the prices of certain raw materials and energy, supply chain disruptions, shortages of electronic components, interest rates, financial and credit market fluctuations, international trade relations and tariffs, pandemics, political turmoil, natural catastrophes, warfare, and terrorist attacks, could negatively affect Pasqal’s business, including progress toward the development of quantum computing. It is not possible at this time to estimate the long-term impact that these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events could have on Pasqal’s business, as the impact will depend on future developments, which are highly uncertain and cannot be predicted. If these conditions persist and deepen, Pasqal could experience an inability to access additional capital if needed, or its results of operations and liquidity could otherwise be impacted.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Pasqal’s operations and revenues are partially dependent on projects in Saudi Arabia. Ongoing geopolitical developments in the Middle East and broader global economic uncertainty, including supply chain disruptions and regional security considerations, could impact project execution timelines or future contract awards. While no material disruptions have been experienced to date, any escalation in regional tensions or changes in government priorities could adversely affect Pasqal’s operations, financial condition, and cash flows.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closely monitors and manages potential increases in its cost structures, including changes in the prices of raw material, inflation in wages and supply chain, and generally includes a price adjustment clause in its customer contracts to limit exposure to fluctuations in these inputs. Pasqal is also closely monitoring ongoing developments regarding U.S. custom tariffs in order to anticipate any potential impact on its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conducts business through one operating segment, which is the development and implementation of quantum computing solutions. Its activities have been conducted primarily in France. Pasqal’s historical results are reported in IFRS Accounting Standards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generates revenue primarily through (i) sales of QPUs and (ii) sales of QPU-related services consisting of cloud services or cloud access to the QPUs, research and development, software and algorithms, and operating and maintenance. Pasqal’s suite of products and services includes production-ready neutral atom quantum computers, its comprehensive accompanying software suite, which includes powerful solvers, developer quantum software development kits and scalable emulation tools, and cloud computing solutions. Pasqal’s product and service offerings are sold both directly to enterprise and research customers, and through partnerships with external software providers and hyperscalers who resell and integrate Pasqal’s quantum capabilities into broader solutions. Pasqal also generates revenue from sales of its cryogenic systems used in quantum technology research (“</w:t>
      </w:r>
      <w:r>
        <w:rPr>
          <w:rFonts w:ascii="Times New Roman PS Std;serif" w:hAnsi="Times New Roman PS Std;serif"/>
          <w:b/>
          <w:i w:val="false"/>
          <w:caps w:val="false"/>
          <w:smallCaps w:val="false"/>
          <w:sz w:val="20"/>
        </w:rPr>
        <w:t>Cryostat</w:t>
      </w:r>
      <w:r>
        <w:rPr>
          <w:rFonts w:ascii="Times New Roman PS Std;serif" w:hAnsi="Times New Roman PS Std;serif"/>
          <w:b w:val="false"/>
          <w:i w:val="false"/>
          <w:caps w:val="false"/>
          <w:smallCaps w:val="false"/>
          <w:sz w:val="20"/>
        </w:rPr>
        <w:t>”) which is recognized at a point in time when control transfers to the customers, generally upon delivery or acceptance as specified in the contract.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revenue streams and related recognition policies are as follows: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Sales of QPUs</w:t>
      </w:r>
      <w:r>
        <w:rPr>
          <w:rFonts w:ascii="Times New Roman PS Std;serif" w:hAnsi="Times New Roman PS Std;serif"/>
          <w:b w:val="false"/>
          <w:i w:val="false"/>
          <w:caps w:val="false"/>
          <w:smallCaps w:val="false"/>
          <w:sz w:val="20"/>
        </w:rPr>
        <w:t> — Revenue is recognized at a point in time when control transfers to the customer, generally upon installment of the QPUs and acceptance by the customer, as specified in the contract.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Sales of QPU-related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services consisting of cloud services or cloud access to the QPUs, research and development, software and algorithms, and operating and maintenance </w:t>
      </w:r>
      <w:r>
        <w:rPr>
          <w:rFonts w:ascii="Times New Roman PS Std;serif" w:hAnsi="Times New Roman PS Std;serif"/>
          <w:b w:val="false"/>
          <w:i w:val="false"/>
          <w:caps w:val="false"/>
          <w:smallCaps w:val="false"/>
          <w:sz w:val="20"/>
        </w:rPr>
        <w:t>— Revenue is recognized over time on a usage or straight-line basis over the service period. Revenue related to research and development services is recognized over time using the cost-to-cost method to measure progress to completion.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represents a component of Pasqal’s operating income and primarily reflects funding received in connection with research and development activities, including programs supported by French, European and other public institutions. The level of government grant income may vary from period to period depending on the timing of project milestones, the recognition of eligible costs, and the availability of public funding programs. Government grants related to operating expenses are recognized in income over the period in which the related costs are incurred, while grants related to assets are recognized over the useful life of the underlying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Pasqal’s borrowings bear interest at rates below the prevailing market rate for comparable instruments. In accordance with IFRS 9, these borrowings were initially recognized at fair value using market borrowing rates. The difference between the cash proceeds received and the initial fair value of the loans is accounted for as a government grant under IAS 20, </w:t>
      </w:r>
      <w:r>
        <w:rPr>
          <w:rFonts w:ascii="Times New Roman PS Std;serif" w:hAnsi="Times New Roman PS Std;serif"/>
          <w:b w:val="false"/>
          <w:i/>
          <w:caps w:val="false"/>
          <w:smallCaps w:val="false"/>
          <w:sz w:val="20"/>
        </w:rPr>
        <w:t>Accounting for Government Grants and Disclosure of Government Assistance</w:t>
      </w:r>
      <w:r>
        <w:rPr>
          <w:rFonts w:ascii="Times New Roman PS Std;serif" w:hAnsi="Times New Roman PS Std;serif"/>
          <w:b w:val="false"/>
          <w:i w:val="false"/>
          <w:caps w:val="false"/>
          <w:smallCaps w:val="false"/>
          <w:sz w:val="20"/>
        </w:rPr>
        <w:t> and presented as deferred income from government grants, which is recognized in profit or loss on a systematic basis over the respective borrowing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consists primarily of changes in fair value of the contingent consideration related to the acquisition of Aeponyx Enterprises Inc., foreign exchange gains on trade receivables and trade and other payables, and other non-recurring items.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 consist of the purchases of goods, raw materials, and consumables to be used in the development of specialized quantum computing hardware and the delivery of related software and cloud services.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 consists of the raw materials, supplies and other inputs used in the development of quantum computing hardware during the period.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consist of compensation-related expenses including employee salaries and wages, social security and other employee benefit contributions, and share-based compensation costs.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 consist of expenses for outsourced activities, primarily related to fees incurred for third-party professional services such as legal, intellectual property advisors, consultants, and technical and scientific subcontractors. Professional services and other services also include costs for short-term and low-value leases that qualify for the recognition exemption under IFRS 16,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advertising costs, travel and entertainment costs, repairs and maintenance costs and other miscellaneous costs incurred for outsourced services.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 results from depreciation of property, plant and equipment that are recognized over their estimated useful lives, amortization of intangible assets that are recognized over their estimated useful lives, and amortization of right-of-use assets over the lease term.</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consist of an impairment of the acquired intangible assets as part of Pasqal’s historical acquisition of Qu&amp;Co Solutions GmbH (“</w:t>
      </w:r>
      <w:r>
        <w:rPr>
          <w:rFonts w:ascii="Times New Roman PS Std;serif" w:hAnsi="Times New Roman PS Std;serif"/>
          <w:b/>
          <w:i w:val="false"/>
          <w:caps w:val="false"/>
          <w:smallCaps w:val="false"/>
          <w:sz w:val="20"/>
        </w:rPr>
        <w:t>Qu&amp;Co</w:t>
      </w:r>
      <w:r>
        <w:rPr>
          <w:rFonts w:ascii="Times New Roman PS Std;serif" w:hAnsi="Times New Roman PS Std;serif"/>
          <w:b w:val="false"/>
          <w:i w:val="false"/>
          <w:caps w:val="false"/>
          <w:smallCaps w:val="false"/>
          <w:sz w:val="20"/>
        </w:rPr>
        <w:t>”) in 2021, in connection with the wind-down of Qu&amp;Co following the closure of Pasqal Netherlands B.V. on June 24, 2025.</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consist primarily of taxes on salaries and other taxes and levies, losses incurred on the disposal of property, plant and equipment, and other miscellaneous operating expenses.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fair value of financial liabilities at FVTPL primarily consists of changes in the fair values of convertible bonds and redeemable bonds. The bonds are recognized at their fair value and subsequently remeasured to fair value at each reporting period, with resulting gains and losses recognized in profit or loss.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consists primarily of interest income earned from cash and cash equivalents and realized foreign currency translation gains on foreign currency transactions.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interest incurred on borrowings, which primarily include Bpifrance S.A. loans, a loan facility with Investissement Québec, a promissory note with BDC Capital Inc. and various other loans.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consists of interest expense on lease liabilities and realized foreign currency translation losses on foreign currency transactions.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 Benefit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 consists of income taxes related to the jurisdictions in which Pasqal conducts business.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results of operations for the years ended December 31, 2025 and 2024:</w:t>
      </w:r>
    </w:p>
    <w:tbl>
      <w:tblPr>
        <w:tblW w:w="10205" w:type="dxa"/>
        <w:jc w:val="left"/>
        <w:tblInd w:w="0" w:type="dxa"/>
        <w:tblLayout w:type="fixed"/>
        <w:tblCellMar>
          <w:top w:w="0" w:type="dxa"/>
          <w:left w:w="0" w:type="dxa"/>
          <w:bottom w:w="0" w:type="dxa"/>
          <w:right w:w="0" w:type="dxa"/>
        </w:tblCellMar>
      </w:tblPr>
      <w:tblGrid>
        <w:gridCol w:w="3985"/>
        <w:gridCol w:w="146"/>
        <w:gridCol w:w="286"/>
        <w:gridCol w:w="901"/>
        <w:gridCol w:w="241"/>
        <w:gridCol w:w="146"/>
        <w:gridCol w:w="286"/>
        <w:gridCol w:w="901"/>
        <w:gridCol w:w="241"/>
        <w:gridCol w:w="146"/>
        <w:gridCol w:w="286"/>
        <w:gridCol w:w="901"/>
        <w:gridCol w:w="241"/>
        <w:gridCol w:w="146"/>
        <w:gridCol w:w="961"/>
        <w:gridCol w:w="391"/>
      </w:tblGrid>
      <w:tr>
        <w:trPr/>
        <w:tc>
          <w:tcPr>
            <w:tcW w:w="39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7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7220" w:type="dxa"/>
        <w:jc w:val="left"/>
        <w:tblInd w:w="0" w:type="dxa"/>
        <w:tblLayout w:type="fixed"/>
        <w:tblCellMar>
          <w:top w:w="0" w:type="dxa"/>
          <w:left w:w="0" w:type="dxa"/>
          <w:bottom w:w="0" w:type="dxa"/>
          <w:right w:w="0" w:type="dxa"/>
        </w:tblCellMar>
      </w:tblPr>
      <w:tblGrid>
        <w:gridCol w:w="2176"/>
        <w:gridCol w:w="146"/>
        <w:gridCol w:w="286"/>
        <w:gridCol w:w="826"/>
        <w:gridCol w:w="146"/>
        <w:gridCol w:w="286"/>
        <w:gridCol w:w="706"/>
        <w:gridCol w:w="146"/>
        <w:gridCol w:w="289"/>
        <w:gridCol w:w="836"/>
        <w:gridCol w:w="146"/>
        <w:gridCol w:w="706"/>
        <w:gridCol w:w="525"/>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9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5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146" w:type="dxa"/>
            <w:tcBorders/>
            <w:vAlign w:val="bottom"/>
          </w:tcPr>
          <w:p>
            <w:pPr>
              <w:pStyle w:val="TableContents"/>
              <w:bidi w:val="0"/>
              <w:spacing w:before="0" w:after="283"/>
              <w:jc w:val="left"/>
              <w:rPr/>
            </w:pPr>
            <w:r>
              <w:rPr/>
              <w:t> </w:t>
            </w:r>
          </w:p>
        </w:tc>
        <w:tc>
          <w:tcPr>
            <w:tcW w:w="2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is comprised of direct sales of QPU, sales of QPU-related services, and Cryostat sales. QPU sales were €7.5 million for the year ended December 31, 2025, with no revenue recognized for the year ended December 31, 2024. The increase was primarily attributable to the commissioning and the recognition of revenue under the GENCI and Forschungszentrum Jülich QPUs contracts as the related performance obligations were satisfied during the year ended December 31, 2025, which contributed approximately €6.1 million of 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increased by €4.4 million, or 213% from €2.1 million for the year ended December 31, 2024 to €6.5 million for the year ended December 31, 2025. This increase was primarily driven by higher revenue recognized under the French Direction Générale de l’Armement contract, resulting in revenue of €5.0 million for the year ended December 31, 2025, as compared to €0.8 million for the year ended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 increased by €1.1 million, or 77% from €1.4 million for the year ended December 31, 2024 to €2.6 million for the year ended December 31, 2025. This increase was primarily driven by a greater number of cryostat deliveries in 2025 as compared to 2024, as revenue is recognized upon delivery.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tbl>
      <w:tblPr>
        <w:tblW w:w="7913" w:type="dxa"/>
        <w:jc w:val="left"/>
        <w:tblInd w:w="0" w:type="dxa"/>
        <w:tblLayout w:type="fixed"/>
        <w:tblCellMar>
          <w:top w:w="0" w:type="dxa"/>
          <w:left w:w="0" w:type="dxa"/>
          <w:bottom w:w="0" w:type="dxa"/>
          <w:right w:w="0" w:type="dxa"/>
        </w:tblCellMar>
      </w:tblPr>
      <w:tblGrid>
        <w:gridCol w:w="2686"/>
        <w:gridCol w:w="146"/>
        <w:gridCol w:w="286"/>
        <w:gridCol w:w="706"/>
        <w:gridCol w:w="146"/>
        <w:gridCol w:w="286"/>
        <w:gridCol w:w="826"/>
        <w:gridCol w:w="146"/>
        <w:gridCol w:w="286"/>
        <w:gridCol w:w="781"/>
        <w:gridCol w:w="241"/>
        <w:gridCol w:w="146"/>
        <w:gridCol w:w="679"/>
        <w:gridCol w:w="552"/>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81"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decreased by €3.6 million, or 33% from €10.8 million for the year ended December 31, 2024 to €7.2 million for the year ended December 31, 2025. The decrease was primarily driven by (i) the wind-down of Qu&amp;Co, following the closure of Pasqal Netherlands B.V, which contributed €1.5 million of government grant income for the year ended December 31, 2024, (ii) a €1.0 million reduction in research tax credit income driven mainly by legislative changes reducing eligible expenses during the year ended December 31, 2025, and (iii) the completion of the Quantum for Bio project, for which €0.7 million was recognized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tbl>
      <w:tblPr>
        <w:tblW w:w="7415" w:type="dxa"/>
        <w:jc w:val="left"/>
        <w:tblInd w:w="0" w:type="dxa"/>
        <w:tblLayout w:type="fixed"/>
        <w:tblCellMar>
          <w:top w:w="0" w:type="dxa"/>
          <w:left w:w="0" w:type="dxa"/>
          <w:bottom w:w="0" w:type="dxa"/>
          <w:right w:w="0" w:type="dxa"/>
        </w:tblCellMar>
      </w:tblPr>
      <w:tblGrid>
        <w:gridCol w:w="2431"/>
        <w:gridCol w:w="146"/>
        <w:gridCol w:w="321"/>
        <w:gridCol w:w="793"/>
        <w:gridCol w:w="164"/>
        <w:gridCol w:w="321"/>
        <w:gridCol w:w="591"/>
        <w:gridCol w:w="146"/>
        <w:gridCol w:w="324"/>
        <w:gridCol w:w="80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4"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164"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increased by €1.6 million, or 636% from €0.3 million for the year ended December 31, 2024 to €1.9 million for the year ended December 31, 2025. The increase is primarily due to the €0.7 million change in fair value of the contingent consideration for the acquisition of Aeponyx Enterprises Inc. and the recognition of €0.6 million reversal of the 2024 VAT provision.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tbl>
      <w:tblPr>
        <w:tblW w:w="10102" w:type="dxa"/>
        <w:jc w:val="left"/>
        <w:tblInd w:w="0" w:type="dxa"/>
        <w:tblLayout w:type="fixed"/>
        <w:tblCellMar>
          <w:top w:w="0" w:type="dxa"/>
          <w:left w:w="0" w:type="dxa"/>
          <w:bottom w:w="0" w:type="dxa"/>
          <w:right w:w="0" w:type="dxa"/>
        </w:tblCellMar>
      </w:tblPr>
      <w:tblGrid>
        <w:gridCol w:w="4546"/>
        <w:gridCol w:w="146"/>
        <w:gridCol w:w="286"/>
        <w:gridCol w:w="781"/>
        <w:gridCol w:w="241"/>
        <w:gridCol w:w="146"/>
        <w:gridCol w:w="286"/>
        <w:gridCol w:w="781"/>
        <w:gridCol w:w="241"/>
        <w:gridCol w:w="146"/>
        <w:gridCol w:w="324"/>
        <w:gridCol w:w="801"/>
        <w:gridCol w:w="146"/>
        <w:gridCol w:w="679"/>
        <w:gridCol w:w="552"/>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1,653</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vAlign w:val="bottom"/>
          </w:tcPr>
          <w:p>
            <w:pPr>
              <w:pStyle w:val="TableContents"/>
              <w:bidi w:val="0"/>
              <w:spacing w:before="0" w:after="283"/>
              <w:jc w:val="left"/>
              <w:rPr/>
            </w:pPr>
            <w:r>
              <w:rPr/>
              <w:t> </w:t>
            </w:r>
          </w:p>
        </w:tc>
        <w:tc>
          <w:tcPr>
            <w:tcW w:w="6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purchases of material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146" w:type="dxa"/>
            <w:tcBorders/>
            <w:shd w:fill="CCEEFF" w:val="clear"/>
            <w:vAlign w:val="bottom"/>
          </w:tcPr>
          <w:p>
            <w:pPr>
              <w:pStyle w:val="TableContents"/>
              <w:bidi w:val="0"/>
              <w:spacing w:before="0" w:after="283"/>
              <w:jc w:val="left"/>
              <w:rPr/>
            </w:pPr>
            <w:r>
              <w:rPr/>
              <w:t> </w:t>
            </w:r>
          </w:p>
        </w:tc>
        <w:tc>
          <w:tcPr>
            <w:tcW w:w="6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 decreased by €1.7 million, or 25% from €6.6 million for the year ended December 31, 2024 to €5.0 million for the year ended December 31, 2025. The decrease was driven by lower purchases of raw materials and consumables due to cost-reduction measures implemented in 2025, which reduced purchases of raw materials and the utilization in operations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tbl>
      <w:tblPr>
        <w:tblW w:w="7734" w:type="dxa"/>
        <w:jc w:val="left"/>
        <w:tblInd w:w="0" w:type="dxa"/>
        <w:tblLayout w:type="fixed"/>
        <w:tblCellMar>
          <w:top w:w="0" w:type="dxa"/>
          <w:left w:w="0" w:type="dxa"/>
          <w:bottom w:w="0" w:type="dxa"/>
          <w:right w:w="0" w:type="dxa"/>
        </w:tblCellMar>
      </w:tblPr>
      <w:tblGrid>
        <w:gridCol w:w="2191"/>
        <w:gridCol w:w="146"/>
        <w:gridCol w:w="286"/>
        <w:gridCol w:w="781"/>
        <w:gridCol w:w="241"/>
        <w:gridCol w:w="146"/>
        <w:gridCol w:w="286"/>
        <w:gridCol w:w="706"/>
        <w:gridCol w:w="146"/>
        <w:gridCol w:w="286"/>
        <w:gridCol w:w="901"/>
        <w:gridCol w:w="241"/>
        <w:gridCol w:w="146"/>
        <w:gridCol w:w="745"/>
        <w:gridCol w:w="486"/>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9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 decreased by €10.6 million, or 146% from income of €7.2 million for the year ended December 31, 2024 to loss of €3.3 million for the year ended December 31, 2025. The changes in inventories in 2025 were primarily driven by the delivery of QPUs during the year, along with reduced procurement activity compared to prior period. The changes in inventories in 2024 were mainly attributable to the initial production phase of the first QPUs.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tbl>
      <w:tblPr>
        <w:tblW w:w="9625" w:type="dxa"/>
        <w:jc w:val="left"/>
        <w:tblInd w:w="0" w:type="dxa"/>
        <w:tblLayout w:type="fixed"/>
        <w:tblCellMar>
          <w:top w:w="0" w:type="dxa"/>
          <w:left w:w="0" w:type="dxa"/>
          <w:bottom w:w="0" w:type="dxa"/>
          <w:right w:w="0" w:type="dxa"/>
        </w:tblCellMar>
      </w:tblPr>
      <w:tblGrid>
        <w:gridCol w:w="3526"/>
        <w:gridCol w:w="146"/>
        <w:gridCol w:w="286"/>
        <w:gridCol w:w="901"/>
        <w:gridCol w:w="241"/>
        <w:gridCol w:w="146"/>
        <w:gridCol w:w="286"/>
        <w:gridCol w:w="901"/>
        <w:gridCol w:w="241"/>
        <w:gridCol w:w="146"/>
        <w:gridCol w:w="286"/>
        <w:gridCol w:w="901"/>
        <w:gridCol w:w="241"/>
        <w:gridCol w:w="146"/>
        <w:gridCol w:w="706"/>
        <w:gridCol w:w="525"/>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Employee salaries and benefit </w:t>
              <w:br/>
              <w:t>expenses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salaries, wages and benefits were €18.0 million, decreased by €0.8 million or 4% compared to the year ended December 31, 2024, due to the decrease in the average number of employees from 293 in 2024 to 286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 increased by €1.0 million, or 19% from €5.3 million for the year ended December 31, 2024 to €6.3 million for the year ended December 31, 2025. The increase is primarily due to the increase in the headcount in the French workforce from 198 in 2024 to 224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 increased by €10.6 million, or 290% from €3.6 million for the year ended December 31, 2024 to €14.2 million for the year ended December 31, 2025. This increase was primarily driven by higher expenses related to BSPCEs, SARs, and stock options, which amounted to €13.8 million in the year ended December 31, 2025, compared to €2.8 million in the prior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tbl>
      <w:tblPr>
        <w:tblW w:w="10205" w:type="dxa"/>
        <w:jc w:val="left"/>
        <w:tblInd w:w="0" w:type="dxa"/>
        <w:tblLayout w:type="fixed"/>
        <w:tblCellMar>
          <w:top w:w="0" w:type="dxa"/>
          <w:left w:w="0" w:type="dxa"/>
          <w:bottom w:w="0" w:type="dxa"/>
          <w:right w:w="0" w:type="dxa"/>
        </w:tblCellMar>
      </w:tblPr>
      <w:tblGrid>
        <w:gridCol w:w="4301"/>
        <w:gridCol w:w="146"/>
        <w:gridCol w:w="286"/>
        <w:gridCol w:w="901"/>
        <w:gridCol w:w="241"/>
        <w:gridCol w:w="146"/>
        <w:gridCol w:w="286"/>
        <w:gridCol w:w="901"/>
        <w:gridCol w:w="241"/>
        <w:gridCol w:w="146"/>
        <w:gridCol w:w="286"/>
        <w:gridCol w:w="706"/>
        <w:gridCol w:w="241"/>
        <w:gridCol w:w="146"/>
        <w:gridCol w:w="706"/>
        <w:gridCol w:w="525"/>
      </w:tblGrid>
      <w:tr>
        <w:trPr/>
        <w:tc>
          <w:tcPr>
            <w:tcW w:w="4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5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professional services and other services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 increased by €0.9 million, or 8% from €11.1 million for the year ended December 31, 2024 to €11.9 million for the year ended December 31, 2025. The increase was primarily driven by costs incurred in connection with the Company’s preparation for becoming a public company, including advisory, legal, and other professional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 decreased by €1.7 million, or 71% from €2.4 million for the year ended December 31, 2024 to €0.7 million for the year ended December 31, 2025. The decrease was primarily attributable to cost-reduction measures implemented in 2025 in connection with the Company’s preparation for becoming a public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 decreased by €1.3 million, or 56% from €2.2 million for the year ended December 31, 2024 to €1.0 million for the year ended December 31, 2025. This change is consistent with cost-reduction measures implemented in 2025 in connection with the Company’s preparation for becoming a public company, including the temporary suspension of international expansion initiatives and participation in seminars.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 decreased by €0.5 million, or 38% from €1.4 million for the year ended December 31, 2024 to €0.8 million for the year ended December 31, 2025. The decrease is consistent with cost-reduction measures implemented in 2025 in connection with the Company’s preparation for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 increased by €0.6 million, or 193% from €0.3 million for the year ended December 31, 2024 to €0.9 million for the year ended December 31, 2025. This increase was primarily driven by higher maintenance activity related to the expansion of deployed QPUs and associated infrastructure, as well as increased repair costs resulting from the growth of operations in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tbl>
      <w:tblPr>
        <w:tblW w:w="8830" w:type="dxa"/>
        <w:jc w:val="left"/>
        <w:tblInd w:w="0" w:type="dxa"/>
        <w:tblLayout w:type="fixed"/>
        <w:tblCellMar>
          <w:top w:w="0" w:type="dxa"/>
          <w:left w:w="0" w:type="dxa"/>
          <w:bottom w:w="0" w:type="dxa"/>
          <w:right w:w="0" w:type="dxa"/>
        </w:tblCellMar>
      </w:tblPr>
      <w:tblGrid>
        <w:gridCol w:w="3091"/>
        <w:gridCol w:w="146"/>
        <w:gridCol w:w="286"/>
        <w:gridCol w:w="781"/>
        <w:gridCol w:w="241"/>
        <w:gridCol w:w="146"/>
        <w:gridCol w:w="286"/>
        <w:gridCol w:w="781"/>
        <w:gridCol w:w="241"/>
        <w:gridCol w:w="146"/>
        <w:gridCol w:w="286"/>
        <w:gridCol w:w="781"/>
        <w:gridCol w:w="241"/>
        <w:gridCol w:w="146"/>
        <w:gridCol w:w="627"/>
        <w:gridCol w:w="604"/>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increased by €2.4 million, or 39% from €6.2 million for the year ended December 31, 2024 to €8.7 million for the year ended December 31, 2025. The increase was primarily attributable to higher depreciation of tangible and intangible assets, including €1.3 million increase related to fixtures and fittings and €0.8 million increase related to intangible assets in connection with the acquisition of Aeponyx Enterprises Inc, as compared to the year ended December 31, 2024. The increase in fixtures and fittings was primarily attributable to refurbishment works at the Company’s head office (Phenix premises) in Palaiseau undertaken in late 2024. The increase in the intangible assets was due to full year amortization of the Aeponyx Enterprises Inc. intangible assets acquired in July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tbl>
      <w:tblPr>
        <w:tblW w:w="7322" w:type="dxa"/>
        <w:jc w:val="left"/>
        <w:tblInd w:w="0" w:type="dxa"/>
        <w:tblLayout w:type="fixed"/>
        <w:tblCellMar>
          <w:top w:w="0" w:type="dxa"/>
          <w:left w:w="0" w:type="dxa"/>
          <w:bottom w:w="0" w:type="dxa"/>
          <w:right w:w="0" w:type="dxa"/>
        </w:tblCellMar>
      </w:tblPr>
      <w:tblGrid>
        <w:gridCol w:w="2341"/>
        <w:gridCol w:w="146"/>
        <w:gridCol w:w="318"/>
        <w:gridCol w:w="452"/>
        <w:gridCol w:w="162"/>
        <w:gridCol w:w="318"/>
        <w:gridCol w:w="669"/>
        <w:gridCol w:w="268"/>
        <w:gridCol w:w="146"/>
        <w:gridCol w:w="396"/>
        <w:gridCol w:w="729"/>
        <w:gridCol w:w="146"/>
        <w:gridCol w:w="745"/>
        <w:gridCol w:w="486"/>
      </w:tblGrid>
      <w:tr>
        <w:trPr/>
        <w:tc>
          <w:tcPr>
            <w:tcW w:w="2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7"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12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5"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were €0.3 million for the year ended December 31, 2024 with no net impairment losses recognized for the year ended December 31, 2025. Intangible assets related to Qu&amp;Co were impaired for an amount of €0.3 million as of December 31, 2024, following the closure on June 24,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tbl>
      <w:tblPr>
        <w:tblW w:w="8017" w:type="dxa"/>
        <w:jc w:val="left"/>
        <w:tblInd w:w="0" w:type="dxa"/>
        <w:tblLayout w:type="fixed"/>
        <w:tblCellMar>
          <w:top w:w="0" w:type="dxa"/>
          <w:left w:w="0" w:type="dxa"/>
          <w:bottom w:w="0" w:type="dxa"/>
          <w:right w:w="0" w:type="dxa"/>
        </w:tblCellMar>
      </w:tblPr>
      <w:tblGrid>
        <w:gridCol w:w="2641"/>
        <w:gridCol w:w="146"/>
        <w:gridCol w:w="286"/>
        <w:gridCol w:w="601"/>
        <w:gridCol w:w="241"/>
        <w:gridCol w:w="146"/>
        <w:gridCol w:w="286"/>
        <w:gridCol w:w="781"/>
        <w:gridCol w:w="241"/>
        <w:gridCol w:w="146"/>
        <w:gridCol w:w="324"/>
        <w:gridCol w:w="801"/>
        <w:gridCol w:w="146"/>
        <w:gridCol w:w="679"/>
        <w:gridCol w:w="552"/>
      </w:tblGrid>
      <w:tr>
        <w:trPr/>
        <w:tc>
          <w:tcPr>
            <w:tcW w:w="26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3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decreased by €5.7 million, or 89% from €6.4 million for the year ended December 31, 2024 to €0.7 million for the year ended December 31, 2025. The decrease was attributable to the €1.4 million onerous contract provision related to the Québec Inc. contract recognized for the year ended December 31, 2024. For the year ended December 31, 2025, the €1.4 million provision for onerous contract was reversed with the positive impact recognized in other operating expenses; the €1.4 million provision was then reclassified as a write-down of work-in-progress inventory recognized in changes in inventory. The decrease in other operating expenses was also attributable to €2.7 million of lease termination costs related to the cancellation of the Sentier lease recognized for the year ended December 31, 2024 that did not occur for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tbl>
      <w:tblPr>
        <w:tblW w:w="10205" w:type="dxa"/>
        <w:jc w:val="left"/>
        <w:tblInd w:w="0" w:type="dxa"/>
        <w:tblLayout w:type="fixed"/>
        <w:tblCellMar>
          <w:top w:w="0" w:type="dxa"/>
          <w:left w:w="0" w:type="dxa"/>
          <w:bottom w:w="0" w:type="dxa"/>
          <w:right w:w="0" w:type="dxa"/>
        </w:tblCellMar>
      </w:tblPr>
      <w:tblGrid>
        <w:gridCol w:w="4738"/>
        <w:gridCol w:w="146"/>
        <w:gridCol w:w="290"/>
        <w:gridCol w:w="917"/>
        <w:gridCol w:w="245"/>
        <w:gridCol w:w="148"/>
        <w:gridCol w:w="323"/>
        <w:gridCol w:w="323"/>
        <w:gridCol w:w="146"/>
        <w:gridCol w:w="286"/>
        <w:gridCol w:w="901"/>
        <w:gridCol w:w="241"/>
        <w:gridCol w:w="146"/>
        <w:gridCol w:w="961"/>
        <w:gridCol w:w="394"/>
      </w:tblGrid>
      <w:tr>
        <w:trPr/>
        <w:tc>
          <w:tcPr>
            <w:tcW w:w="47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8" w:type="dxa"/>
            <w:tcBorders/>
            <w:vAlign w:val="bottom"/>
          </w:tcPr>
          <w:p>
            <w:pPr>
              <w:pStyle w:val="TableContents"/>
              <w:bidi w:val="0"/>
              <w:spacing w:before="0" w:after="283"/>
              <w:jc w:val="left"/>
              <w:rPr/>
            </w:pPr>
            <w:r>
              <w:rPr/>
              <w:t> </w:t>
            </w:r>
          </w:p>
        </w:tc>
        <w:tc>
          <w:tcPr>
            <w:tcW w:w="6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21"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7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 decreased by €34.9 million, or 873375% from €0.0 million for the year ended December 31, 2024 to (€34.9) million for the year ended December 31, 2025. The decrease was primarily attributable to €34.5 million related to the change in fair value of the ORA Bonds (defined below) issued between April and December 2025, compared to €0.2 million of changes in fair value recognized for the OCA Bonds (defined below) offset by €0.2 million for the change in fair value of the financial liability related to the acquisition of Aeponyx Enterprises Inc.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tbl>
      <w:tblPr>
        <w:tblW w:w="6635" w:type="dxa"/>
        <w:jc w:val="left"/>
        <w:tblInd w:w="0" w:type="dxa"/>
        <w:tblLayout w:type="fixed"/>
        <w:tblCellMar>
          <w:top w:w="0" w:type="dxa"/>
          <w:left w:w="0" w:type="dxa"/>
          <w:bottom w:w="0" w:type="dxa"/>
          <w:right w:w="0" w:type="dxa"/>
        </w:tblCellMar>
      </w:tblPr>
      <w:tblGrid>
        <w:gridCol w:w="1651"/>
        <w:gridCol w:w="146"/>
        <w:gridCol w:w="294"/>
        <w:gridCol w:w="726"/>
        <w:gridCol w:w="150"/>
        <w:gridCol w:w="294"/>
        <w:gridCol w:w="726"/>
        <w:gridCol w:w="146"/>
        <w:gridCol w:w="396"/>
        <w:gridCol w:w="729"/>
        <w:gridCol w:w="146"/>
        <w:gridCol w:w="627"/>
        <w:gridCol w:w="604"/>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0"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15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increased by €0.5 million, or 51% from €1.0 million for the year ended December 31, 2024 to €1.6 million for the year ended December 31, 2025. The increase was driven by an increase of €0.6 million in foreign exchange gains on financial operations, partially offset by a decrease of €0.1 million in financial income from cash and cash equivalents. The increase in foreign exchange gains on financial operations was primarily due to favorable changes in foreign currency exchange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tbl>
      <w:tblPr>
        <w:tblW w:w="7495" w:type="dxa"/>
        <w:jc w:val="left"/>
        <w:tblInd w:w="0" w:type="dxa"/>
        <w:tblLayout w:type="fixed"/>
        <w:tblCellMar>
          <w:top w:w="0" w:type="dxa"/>
          <w:left w:w="0" w:type="dxa"/>
          <w:bottom w:w="0" w:type="dxa"/>
          <w:right w:w="0" w:type="dxa"/>
        </w:tblCellMar>
      </w:tblPr>
      <w:tblGrid>
        <w:gridCol w:w="1756"/>
        <w:gridCol w:w="146"/>
        <w:gridCol w:w="286"/>
        <w:gridCol w:w="781"/>
        <w:gridCol w:w="241"/>
        <w:gridCol w:w="146"/>
        <w:gridCol w:w="286"/>
        <w:gridCol w:w="781"/>
        <w:gridCol w:w="241"/>
        <w:gridCol w:w="146"/>
        <w:gridCol w:w="286"/>
        <w:gridCol w:w="781"/>
        <w:gridCol w:w="241"/>
        <w:gridCol w:w="146"/>
        <w:gridCol w:w="627"/>
        <w:gridCol w:w="604"/>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€1.3 million, or 53%, from €2.5 million for the year ended December 31, 2024 to €3.9 million for the year ended December 31, 2025. The increase was primarily driven by higher interest on borrowings, reflecting new debt, including the IFA loan (defined below) of €5.1 million entered into in 2025, as well as an increase of €1.0 million in accretion expense on contract liabilities.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tbl>
      <w:tblPr>
        <w:tblW w:w="7990" w:type="dxa"/>
        <w:jc w:val="left"/>
        <w:tblInd w:w="0" w:type="dxa"/>
        <w:tblLayout w:type="fixed"/>
        <w:tblCellMar>
          <w:top w:w="0" w:type="dxa"/>
          <w:left w:w="0" w:type="dxa"/>
          <w:bottom w:w="0" w:type="dxa"/>
          <w:right w:w="0" w:type="dxa"/>
        </w:tblCellMar>
      </w:tblPr>
      <w:tblGrid>
        <w:gridCol w:w="2431"/>
        <w:gridCol w:w="146"/>
        <w:gridCol w:w="286"/>
        <w:gridCol w:w="781"/>
        <w:gridCol w:w="241"/>
        <w:gridCol w:w="146"/>
        <w:gridCol w:w="286"/>
        <w:gridCol w:w="601"/>
        <w:gridCol w:w="241"/>
        <w:gridCol w:w="146"/>
        <w:gridCol w:w="286"/>
        <w:gridCol w:w="781"/>
        <w:gridCol w:w="24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increased by €3.9 million, or 636% from €0.6 million for the year ended December 31, 2024 to €4.5 million for the year ended December 31, 2025. The increase was primarily attributable to an increase of €1.6 million in issuance costs of the ORA Bonds (defined below) issued in 2025, an increase of €2.1 million in foreign exchange losses on financial operations and increase of €0.2 million in interest expense on lease liabilities. The increase in foreign exchange losses on financial operations was primarily due to unfavorable changes in foreign currency exchange rates.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 Benefit</w:t>
      </w:r>
    </w:p>
    <w:tbl>
      <w:tblPr>
        <w:tblW w:w="7971" w:type="dxa"/>
        <w:jc w:val="left"/>
        <w:tblInd w:w="0" w:type="dxa"/>
        <w:tblLayout w:type="fixed"/>
        <w:tblCellMar>
          <w:top w:w="0" w:type="dxa"/>
          <w:left w:w="0" w:type="dxa"/>
          <w:bottom w:w="0" w:type="dxa"/>
          <w:right w:w="0" w:type="dxa"/>
        </w:tblCellMar>
      </w:tblPr>
      <w:tblGrid>
        <w:gridCol w:w="2986"/>
        <w:gridCol w:w="146"/>
        <w:gridCol w:w="318"/>
        <w:gridCol w:w="536"/>
        <w:gridCol w:w="268"/>
        <w:gridCol w:w="162"/>
        <w:gridCol w:w="318"/>
        <w:gridCol w:w="586"/>
        <w:gridCol w:w="146"/>
        <w:gridCol w:w="286"/>
        <w:gridCol w:w="601"/>
        <w:gridCol w:w="241"/>
        <w:gridCol w:w="146"/>
        <w:gridCol w:w="745"/>
        <w:gridCol w:w="486"/>
      </w:tblGrid>
      <w:tr>
        <w:trPr/>
        <w:tc>
          <w:tcPr>
            <w:tcW w:w="2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9"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 decreased by €0.4 million, or 127% from €0.3 million for the year ended December 31, 2024 to (€0.1) million for the year ended December 31, 2025. The difference between the theoretical tax and the income tax expense benefit recognized is primarily due to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Pasqal has incurred significant losses and as of December 31, 2025, Pasqal had an accumulated deficit of €32.5 million. For the years ended December 31, 2025 and 2024, Pasqal incurred net losses of €92.4 million and €48.5 million, respectively. Pasqal expects to incur significant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historically funded its operations, capital expenditures, and working capital requirements from private financings from investors through issuances of shares and convertible bonds, loans and borrowings from financial institutions, and grants received from government organizations. As of December 31, 2025, Pasqal had cash and cash equivalents of €73.8 million. Subsequent to December 31, 2025, Pasqal issued 499,769 Series C shares at a price of €139.54 per share, for total proceeds of €69.7 million. Pasqal believes that its cash and cash equivalents as of December 31, 2025 and the proceeds it received from the Series C financing will be sufficient to meet its working capital and capital expenditure needs for the next twelve months from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receives cash from government grants, which may not be recurring in nature. For the years ended December 31, 2025 and 2024, the Company received government investment and income-related grants in cash of €8.0 million and €1.4 million, respectively. These government grants historically received were awarded by local governments in France, other European countries, and South Korea, primarily in recognition of Pasqal’s contributions to its research, development, and industrial deployment programs and projects. These grants are typically evaluated on an annual or project basis, based on prevailing local regulations and policies, and are thus non-recurring in nature. Consequently, there is no guarantee that Pasqal will continue receiving or benefiting from them in the future and it is also challenging for Pasqal to predict the amounts of future grants. Under the terms and conditions of the government grants received and anticipated to be received, in some the cases, the Company is required to meet certain requirements such as achievement of certain technological milestones, achievement of employment targets, and execution of committed investment expenditures. There can be no assurance that Pasqal will be able to fully satisfy these conditions or perform such obligations, and it is possible that regulatory authorities may discontinue such grants or require Pasqal to repay part or all of the government grants Pasqal previously received. Any reduction, cancellation, or repayment resulting from Pasqal’s failure to perform such obligations could adversely affect Pasqal’s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December 31, 2025, Pasqal completed the Business Combination and received aggregate proceeds of $27.7 million from the trust account established in connection with Bleichroeder’s initial public offering. Substantially concurrently with the closing of the Business Combination, Pasqal consummated the March 2026 Financing and received aggregate proceeds of $250.0 million. Pasqal expects that the proceeds from the Business Combination and the March 2026 Financing, together with cash flows from operating activities and proceeds from future debt and equity financings, are expected to support its ongoing business operations and future 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capital requirements will depend on several factors, including its ability to attract and retain customers, the continuing market acceptance of its products and services, the introduction of new or upgraded products and services, the technological choices it makes, the expansion of sales and marketing activities, and overall economic conditions. Pasqal’s primary short-term cash requirements are to fund working capital and lease obligations. Working capital requirements can vary significantly from period to period, particularly as a result of the timing of receipts and disbursements related to long-term contracts. Pasqal’s medium-term to long-term cash requirements are primarily to invest in facilities, equipment, technologies, personnel, research and development, and strategic acquisitions. Pasqal could be required, or could elect, to seek additional funding through public or private equity or debt financings or other capital sources; however, additional funds may not be available on terms acceptable to Pasqal, if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product roadmap benefits significantly from external funding sources to advance the technological roadmap across quantum computing. Pasqal invests aggressively in research and development across quantum computing, including capital expenditures, business development, and engineering. In addition to the neutral-atom quantum computers in its technological roadmap, Pasqal also provides (i) cloud services that let users run quantum algorithms, simulations, and applications without specialized on-premises hardware and (ii) a software suite that enables the design, compilation, and integration of quantum algorithms into existing applications and workflows. Pasqal expects to continue to invest in research and development as a public company to fund these technological priorities and scale toward digital fault-tolerant quantum computing. While there can be no assurances, Pasqal intends to raise such capital through additional equity or debt fundraising activities. If additional financing is required from outside sources, Pasqal may not be able to raise it on terms acceptable to Pasqal or at all. If Pasqal is unable to raise additional capital when desired, Pasqal’s business, results of operations, and financial condition would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First-Demand Guarantee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 contract entered into with its customer, Saudi Arabian Oil Company, Pasqal provided a first-demand bank guarantee in favor of the customer to support its performance obligations under the related agreement. As collateral for this guarantee, Pasqal pledged a cash deposit with the issuing bank; the cash deposit by Pasqal is recognized as deposits within non-current assets in Pasqal’s consolidated financial statements. As of December 31, 2025, the associated pledged deposit totaled €7.3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Pasqal’s outstanding borrowings, including accrued interest and excluding any convertible bonds, consisted of the following:</w:t>
      </w:r>
    </w:p>
    <w:tbl>
      <w:tblPr>
        <w:tblW w:w="7948" w:type="dxa"/>
        <w:jc w:val="left"/>
        <w:tblInd w:w="0" w:type="dxa"/>
        <w:tblLayout w:type="fixed"/>
        <w:tblCellMar>
          <w:top w:w="0" w:type="dxa"/>
          <w:left w:w="0" w:type="dxa"/>
          <w:bottom w:w="0" w:type="dxa"/>
          <w:right w:w="0" w:type="dxa"/>
        </w:tblCellMar>
      </w:tblPr>
      <w:tblGrid>
        <w:gridCol w:w="5266"/>
        <w:gridCol w:w="146"/>
        <w:gridCol w:w="286"/>
        <w:gridCol w:w="826"/>
        <w:gridCol w:w="146"/>
        <w:gridCol w:w="286"/>
        <w:gridCol w:w="706"/>
        <w:gridCol w:w="286"/>
      </w:tblGrid>
      <w:tr>
        <w:trPr/>
        <w:tc>
          <w:tcPr>
            <w:tcW w:w="52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3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2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2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3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Aeponyx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Unamortized discounts and deferred finance charges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Pasqal’s outstanding borrowings consists of primarily the below debt agreements.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BDC Capital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18, 2024, Pasqal entered into a loan agreement with BDC Capital Inc. in the aggregate principal amount of €2.0 million. The loan bears interest at a fixed rate of 15.00 % per annum and matures on September 19,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Investissement Québec — Pasqal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27, 2024, Pasqal entered into a loan agreement with Investissement Québec for a facility of up to CAD 15.0 million or €9.9 million, with a maturity date of September 27, 2034. On September 27, 2024, Pasqal received an initial disbursement under the facility of CAD 4.2 million or €2.8 million. In addition, on April 14, 2025, Pasqal received an additional drawdown under the facility of CAD 1.1 million or €0.7 million. Borrowings under the facility bear interest at a fixed rate of 4.09% per annum, which is below the market rate for comparable borrowings.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Bpifrance S.A.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2021, Pasqal entered into an Amorçage Investissement loan with Bpifrance S.A. in an aggregate principal amount of €2.0 million, with a maturity date of December 31, 2029. The loan bears interest at a fixed rate of 3.57%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30, 2021, Pasqal entered into an Innovation R&amp;D loan with Bpifrance S.A. in an aggregate principal amount of €2.0 million, with a maturity date of June 30, 2029. The loan bears interest at a fixed rate of 0.71%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IFA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7, 2025, Pasqal entered into a USD 15.0 million or €12.9 million ten-year financing arrangement with the Illinois Finance Authority (“</w:t>
      </w:r>
      <w:r>
        <w:rPr>
          <w:rFonts w:ascii="Times New Roman PS Std;serif" w:hAnsi="Times New Roman PS Std;serif"/>
          <w:b/>
          <w:i w:val="false"/>
          <w:caps w:val="false"/>
          <w:smallCaps w:val="false"/>
          <w:sz w:val="20"/>
        </w:rPr>
        <w:t>IFA</w:t>
      </w:r>
      <w:r>
        <w:rPr>
          <w:rFonts w:ascii="Times New Roman PS Std;serif" w:hAnsi="Times New Roman PS Std;serif"/>
          <w:b w:val="false"/>
          <w:i w:val="false"/>
          <w:caps w:val="false"/>
          <w:smallCaps w:val="false"/>
          <w:sz w:val="20"/>
        </w:rPr>
        <w:t>”) to support its development in the U.S. As of December 31, 2025, Pasqal had drawn €5.1 million under the IFA loan. The IFA loan bears interest at a fixed rate of 3.55% per annum and includes a deferred-interest period; the IFA loan bears an interest rate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Pasqal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IFA for quantum computers manufactured at the Illinois site and sold or leased during the loan term. As of December 31, 2025, no such fee has been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financing arrangements described above are not subject to financial covenants that could affect the terms, repayment schedule, or continuity of the financing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5, 2024, Pasqal issued convertible bonds to CMA CGM Group for an aggregate principal amount of €5.0 million with an interest rate of 5% per annum and maturity date of December 31, 2025 (the “</w:t>
      </w:r>
      <w:r>
        <w:rPr>
          <w:rFonts w:ascii="Times New Roman PS Std;serif" w:hAnsi="Times New Roman PS Std;serif"/>
          <w:b/>
          <w:i w:val="false"/>
          <w:caps w:val="false"/>
          <w:smallCaps w:val="false"/>
          <w:sz w:val="20"/>
        </w:rPr>
        <w:t>OCA Bonds</w:t>
      </w:r>
      <w:r>
        <w:rPr>
          <w:rFonts w:ascii="Times New Roman PS Std;serif" w:hAnsi="Times New Roman PS Std;serif"/>
          <w:b w:val="false"/>
          <w:i w:val="false"/>
          <w:caps w:val="false"/>
          <w:smallCaps w:val="false"/>
          <w:sz w:val="20"/>
        </w:rPr>
        <w:t>”). The OCA Bonds are converted into the most senior class of shares upon a change of control or at the option of the holder, at maturity. The OCA Bonds also convert upon a qualifying raise that occurs more than three months from the OCA Bonds’ issuance date, into the same class of shares issued to investors in that raise. In addition to the conversion features, the OCA Bonds have redemption features which permits the holder of the OCA Bonds to redeem for cash upon an event of default, upon a qualifying raise that occurs within three months from the OCA Bonds’ issuance date, or at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15, 2025, the CMA CGM Group requested repayment of an amount equal to the aggregate principal and accrued interest, totaling €5.3 million. The liability due to CMA CGM Group was settled through the issuance of convertible bonds for €5.3 million (the “</w:t>
      </w:r>
      <w:r>
        <w:rPr>
          <w:rFonts w:ascii="Times New Roman PS Std;serif" w:hAnsi="Times New Roman PS Std;serif"/>
          <w:b/>
          <w:i w:val="false"/>
          <w:caps w:val="false"/>
          <w:smallCaps w:val="false"/>
          <w:sz w:val="20"/>
        </w:rPr>
        <w:t>ORA Bonds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Redeemable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2025 and December 2025, Pasqal issued ORA Bonds to various parties for an aggregate principal amount of €68.3 million with an interest rate per annum of 12% and maturity date of June 30, 2026. The ORA Bonds are converted to either Series B or Series C shares, accompanied by the related ratchet warrants, upon the occurrence of one of the following events: qualified equity financing, non-qualified equity financing (at the option of the holder), exit event, IPO event, event of default, at maturity date, or any other mutually agreed redemption event. On March 2, 2026, the ORA Bonds were converted to 682,542 Series C shares at €139.54 per share, accompanied by ratchet warrants as a result of the issuance of Series C shares on February 28, 2026, which represented a qualified equity financing redemption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conversion, Pasqal remeasured the fair value of the ORA Bonds as of the conversion date and derecognized the carrying amount of the liability, with a corresponding increase to equity. Accordingly, Pasqal recognized €7.1 million of change in fair value in the consolidated statement of profit or loss immediately prior to the conversion. As the ratchet warrants attached to the Series C shares were determined to have a nil fair value at inception, the entire fair value of the ORA Bonds at the conversion date was allocated to the Series C shares issued upon conversion.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C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Pasqal executed a shareholders’ agreement with certain new and existing investors for the issuance of 225,741 Series C shares of Pasqal for total proceeds of €31.5 million, at a per-share price of €139.54. During January and February 2026, Pasqal issued 499,769 Series C shares at a price of €139.54 per share, for total proceeds of €69.7 million. Under the terms of the shareholders agreement, the Series C have the following ratchet warrants attached (collectively referred to as the “</w:t>
      </w:r>
      <w:r>
        <w:rPr>
          <w:rFonts w:ascii="Times New Roman PS Std;serif" w:hAnsi="Times New Roman PS Std;serif"/>
          <w:b/>
          <w:i w:val="false"/>
          <w:caps w:val="false"/>
          <w:smallCaps w:val="false"/>
          <w:sz w:val="20"/>
        </w:rPr>
        <w:t>BSA Ratchets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attached to all Pasqal Series C shares and entitle the holder to subscribe, at a nominal value, for additional Pasqal Series C shares in the event that Pasqal issues new shares or other securities that give access to a portion of its share capital based on a per-share price lower than the per-share price in the Series C financing of €139.54. The BSA Ratchet C warrants cease to be exercisable on the date Pasqal completes a direct or indirect initial public offering, including in connection with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that Pasqal completes an initial public offering, including through a special purpose acquisition company, under which the pre-money valuation of Pasqal on a fully-diluted basis is less than $2.0 billion (a “</w:t>
      </w:r>
      <w:r>
        <w:rPr>
          <w:rFonts w:ascii="Times New Roman PS Std;serif" w:hAnsi="Times New Roman PS Std;serif"/>
          <w:b/>
          <w:i w:val="false"/>
          <w:caps w:val="false"/>
          <w:smallCaps w:val="false"/>
          <w:sz w:val="20"/>
        </w:rPr>
        <w:t>Qualified IPO</w:t>
      </w:r>
      <w:r>
        <w:rPr>
          <w:rFonts w:ascii="Times New Roman PS Std;serif" w:hAnsi="Times New Roman PS Std;serif"/>
          <w:b w:val="false"/>
          <w:i w:val="false"/>
          <w:caps w:val="false"/>
          <w:smallCaps w:val="false"/>
          <w:sz w:val="20"/>
        </w:rPr>
        <w:t>”). The BSA Ratchet C* warrants cease to be exercisable following a period of sixty days from the notification by Pasqal of either a Qualified IPO or a direct or indirect initial public offering project (including in connection with the Business Combination) with a pre-money valuation of Pasqal on a fully diluted basis that is greater than or equal to USD $2.0 billion.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Pasqal does not sign a business combination agreement with a special purpose acquisition company. Upon execution of the Business Combination Agreement on February 28, 2026, the BSA Ratchet C** warrants expired.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Funding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use of cash is to fund its business operations, which consist primarily of employee-related costs, research and development activities, working capital requirements, lease obligations, capital expenditures and other anticipated costs to scale operations in the future and operate as a public company. Pasqal requires a significant amount of cash for expenditures and continued investment in ongoing quantum research and development and business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numerous risks and uncertainties associated with research, development, and commercialization of Pasqal’s quantum technology, Pasqal is unable to estimate the exact amount of its working capital requirements. Pasqal’s operating plan may change because of factors currently unknown, and Pasqal may need to seek additional funds sooner than planned, through public or private equity or debt financings or other sources, such as strategic collaborations or other transactions. In addition, Pasqal may seek additional capital even if Pasqal believes that it has sufficient funds for current or future operating plans.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the business. Debt financing and equity financing, if available, may involve agreements that include covenants limiting or restricting Pasqal’s ability to take specific actions, such as incurring additional debt, making capital expenditures or declaring dividends. If Pasqal is unable to raise additional funds through equity or debt financings when needed, Pasqal may be required to delay, limit, or substantially reduce its quantum computing development efforts. Pasqal’s future capital requirements and the adequacy of available funds will depend on many factors, including those set forth in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Pasqal’s contractual obligations and commitments are related to its lease obligations for office spaces and manufacturing facilities and contractual payments on its outstanding borrowings described above. The following table summarizes Pasqal’s contractual obligations and commitments as of December 31, 2025. The amounts are gross and undiscounted, and include contractual interest payments and anticipated prepayments and related penalties:</w:t>
      </w:r>
    </w:p>
    <w:tbl>
      <w:tblPr>
        <w:tblW w:w="10205" w:type="dxa"/>
        <w:jc w:val="left"/>
        <w:tblInd w:w="0" w:type="dxa"/>
        <w:tblLayout w:type="fixed"/>
        <w:tblCellMar>
          <w:top w:w="0" w:type="dxa"/>
          <w:left w:w="0" w:type="dxa"/>
          <w:bottom w:w="0" w:type="dxa"/>
          <w:right w:w="0" w:type="dxa"/>
        </w:tblCellMar>
      </w:tblPr>
      <w:tblGrid>
        <w:gridCol w:w="3479"/>
        <w:gridCol w:w="146"/>
        <w:gridCol w:w="286"/>
        <w:gridCol w:w="826"/>
        <w:gridCol w:w="146"/>
        <w:gridCol w:w="362"/>
        <w:gridCol w:w="1048"/>
        <w:gridCol w:w="146"/>
        <w:gridCol w:w="286"/>
        <w:gridCol w:w="706"/>
        <w:gridCol w:w="146"/>
        <w:gridCol w:w="370"/>
        <w:gridCol w:w="1072"/>
        <w:gridCol w:w="146"/>
        <w:gridCol w:w="286"/>
        <w:gridCol w:w="754"/>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Contractual </w:t>
              <w:br/>
              <w:t>Cash Flow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Within </w:t>
              <w:br/>
              <w:t>1 Year</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5 Years</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3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8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4"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20,677</w:t>
            </w:r>
          </w:p>
        </w:tc>
        <w:tc>
          <w:tcPr>
            <w:tcW w:w="146" w:type="dxa"/>
            <w:tcBorders/>
            <w:shd w:fill="CCEEFF" w:val="clear"/>
            <w:vAlign w:val="bottom"/>
          </w:tcPr>
          <w:p>
            <w:pPr>
              <w:pStyle w:val="TableContents"/>
              <w:bidi w:val="0"/>
              <w:spacing w:before="0" w:after="283"/>
              <w:jc w:val="left"/>
              <w:rPr/>
            </w:pPr>
            <w:r>
              <w:rPr/>
              <w:t> </w:t>
            </w:r>
          </w:p>
        </w:tc>
        <w:tc>
          <w:tcPr>
            <w:tcW w:w="3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5,408</w:t>
            </w:r>
          </w:p>
        </w:tc>
        <w:tc>
          <w:tcPr>
            <w:tcW w:w="146" w:type="dxa"/>
            <w:tcBorders/>
            <w:shd w:fill="CCEEFF" w:val="clear"/>
            <w:vAlign w:val="bottom"/>
          </w:tcPr>
          <w:p>
            <w:pPr>
              <w:pStyle w:val="TableContents"/>
              <w:bidi w:val="0"/>
              <w:spacing w:before="0" w:after="283"/>
              <w:jc w:val="left"/>
              <w:rPr/>
            </w:pPr>
            <w:r>
              <w:rPr/>
              <w:t> </w:t>
            </w:r>
          </w:p>
        </w:tc>
        <w:tc>
          <w:tcPr>
            <w:tcW w:w="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commitments and guarantees between Legacy Pasqal and New Pasqal and its subsidiaries and the first-demand guarantee in connection with the contract entered into with Saudi Arabian Oil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cash flows for the years ended December 31, 2025 and 2024:</w:t>
      </w:r>
    </w:p>
    <w:tbl>
      <w:tblPr>
        <w:tblW w:w="7829" w:type="dxa"/>
        <w:jc w:val="left"/>
        <w:tblInd w:w="0" w:type="dxa"/>
        <w:tblLayout w:type="fixed"/>
        <w:tblCellMar>
          <w:top w:w="0" w:type="dxa"/>
          <w:left w:w="0" w:type="dxa"/>
          <w:bottom w:w="0" w:type="dxa"/>
          <w:right w:w="0" w:type="dxa"/>
        </w:tblCellMar>
      </w:tblPr>
      <w:tblGrid>
        <w:gridCol w:w="4636"/>
        <w:gridCol w:w="146"/>
        <w:gridCol w:w="286"/>
        <w:gridCol w:w="901"/>
        <w:gridCol w:w="241"/>
        <w:gridCol w:w="146"/>
        <w:gridCol w:w="286"/>
        <w:gridCol w:w="901"/>
        <w:gridCol w:w="28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changes in fair value of financial liabilities at FVTPL, changes in provisions, ongoing working capital needs to support growth in personnel-related expenditures, and fluctuations in other current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2025, was €24.3 million, resulting primarily from a net loss of €92.4 million, offset by €53.6 million in net change of non-cash adjustments and interest paid in the period and change in operating assets and liabilities of €14.3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€53.6 million in non-cash adjustments and interest paid primarily include share-based payment and other personnel expenses of €9.7 million, change in provision of €4.1 million, depreciation of property, plant and equipment and amortization of intangible assets and impairments of €8.8 million, changes in the fair value of financial liabilities at FVTPL of €34.9 million, gains and losses on disposal of assets of €0.2 million, financial expense of €3.4 million, and interest paid of €1.2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€14.3 million change in operating assets and liabilities for the year ended December 31, 2025 consisted primarily of a €10.0 million increase in contract liabilities, a €3.8 million increase in trade payables and related accounts, a €3.4 million decrease in inventories and a €0.9 million increase in other liabilities, partially offset by a €3.5 million increase in trade receivables and related accounts and a €0.3 million increase in other receivables. The increase in contract liabilities was primarily due to an increase in advances received from customers. The increase in trade payables and related accounts was mainly attributable to higher legal, audit and consulting fees incurred in connection with the Company’s preparation for becoming a public company. The decrease in inventories was primarily due to the delivery of QPUs during the year, combined with a €1.6 million impairment of work-in-progress inventory related to the contract entered into with Québec Inc. in 2025. The increase in other liabilities was primarily due to the recognition of deferred income related to the Korean grant of €0.9 million. The increase in trade receivables and related accounts was primarily attributable to the delivery of QPUs during the year, while the increase in other receivables was mainly due to interest receivable on financial assets.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2025, was €5.4 million, resulting primarily from the purchase of property, plant and equipment of €5.7 million, purchase of intangible assets of €5.1 million, change in deposits of €2.1 million primarily related to the first-demand guarantee in connection with the recovery of the first-demand guarantee related to the Sentier lease, receipt of government investment grants of €3.9 million, proceeds from the sale of intangible asset of €0.2 million, and payment of €0.5 million to former shareholders of MyCryoFirm, which was acquired by Pasqal in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2025, was €96.7 million resulting from proceeds from borrowings of €69.4 million, including €63.0 million related to the issuance of the ORA Bonds, proceeds from issuance of Series C shares of €30.8 million, offset by repayments of borrowings and the principal portion of lease liabilities of €2.3 million, and interest payments €1.2 million.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ongoing working capital needs to support growth in personnel-related expenditures, and fluctuations in inventories, trade receivables and related accounts, other receivables, and 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2024, was €29.9 million, resulting primarily from a net loss of €48.5 million, offset by €16.5 million in net change of non-cash adjustments and interest paid in the period and change in operating assets and liabilities of €2.0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€16.5 million in non-cash adjustments and interest paid primarily include share-based payment and other personnel expenses of €2.4 million, change in provision, depreciation of property, plant and equipment and amortization of intangible assets and impairments of €11.7 million, financial expense of €1.7 million, and interest paid of €0.7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 million change in operating assets and liabilities for the year ended December 31, 2024 consisted of €14.2 million increase in contract liabilities, €8.6 million increase in inventories, €1.9 million increase in trade receivables and related accounts, €1.8 million increase in other receivables, €0.9 million increase in other liabilities, offset by €0.7 million decrease in trade payables and related accounts. The increase in contract liabilities was primarily due to an increase in advances received from customers. The increase in inventories was primarily due to the purchase of parts required to manufacture the quantum computers with delivery dates in 2025. The increase in trade receivables and related accounts was primarily due to an increase in unbilled revenue. The increase in other receivables was primarily due to interest receivables from financial accounts. The increase in other liabilities was primarily due to the recognition of €0.8 million of tax payables. The decrease in trade payables and related accounts was primarily due to shorter payment terms from key suppliers.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2024, was €28.6 million, resulting from the purchase of property, plant and equipment of €19.2 million, purchase of intangible assets of €0.9 million, change in deposits of €8.3 million related to the first-demand guarantee in connection with the contract entered into with Saudi Arabian Oil Company in 2024, and payment of €0.5 million to former shareholders of MyCryoFirm, which was acquired by Pasqal in 2022, offset by the impact of net cash acquired from Aeponyx Enterprises Inc. of €0.3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2024, was €4.8 million resulting from proceeds from borrowings of €7.8 million, offset by repayments of borrowings of €1.0 million, payments of the principal portion of lease liabilities of €1.4 million, and interest payments €0.6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 and Judgments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consolidated financial statements are prepared in accordance with IFRS as issued by the IASB. In preparing its consolidated financial statements, Pasqal makes assumptions, judgments and estimates that can have a significant impact on amounts reported in the consolidated financial statements. Pasqal bases its material judgments, estimates and assumptions on historical experience and various other factors, including expectations of future events that are believed to be reasonable under the circumstances. Actual results could differ materially from these estimates under different assumptions or conditions and are recognized prospectively. Pasqal regularly re-evaluates its material judgments, estimates and assumptions. See Note 4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that have significant risks of causing material adjustments in Pasqal’s consolidated financial statements relate 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recognizes revenue in accordance with IFRS 15, </w:t>
      </w:r>
      <w:r>
        <w:rPr>
          <w:rFonts w:ascii="Times New Roman PS Std;serif" w:hAnsi="Times New Roman PS Std;serif"/>
          <w:b w:val="false"/>
          <w:i/>
          <w:caps w:val="false"/>
          <w:smallCaps w:val="false"/>
          <w:sz w:val="20"/>
        </w:rPr>
        <w:t>Revenues from Contracts with Customers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15</w:t>
      </w:r>
      <w:r>
        <w:rPr>
          <w:rFonts w:ascii="Times New Roman PS Std;serif" w:hAnsi="Times New Roman PS Std;serif"/>
          <w:b w:val="false"/>
          <w:i w:val="false"/>
          <w:caps w:val="false"/>
          <w:smallCaps w:val="false"/>
          <w:sz w:val="20"/>
        </w:rPr>
        <w:t>”). Pasqal’s revenue recognition requires significant judgement in assessing how customer contracts give rise to enforceable rights and obligations and determining the appropriate accounting treatment under IFRS 15. The most significant judgements in applying IFRS 15 relate to the identification of distinct performance obligations within customer contracts, the assessment of the timing of revenue recognition (at a point in time versus over time), and the determination of standalone selling prices for distinct performance obligations. The estimates involved in revenue recognition may materially impact the timing and allocation of revenue, and changes in assumptions could result in significant variations in reported results. Management reviews Pasqal’s revenue recognition policies for consistency and applies estimation techniques that reflect current market conditions. However, evolving contract structures, pricing models, and customer arrangements may require adjustments in future periods. Accordingly, Pasqal monitors these factors and evaluates the sensitivity of key assumptions to assess their potential effect on financial reporting and ensure transparency regarding potential impacts on financial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derives revenue from three significant types of revenue contracts in 2025: (i) sales of QPUs (ii) sales of QPU-related services and (iii) Cryostat sales. In 2024, Pasqal derived revenue from the sales of QPU-related services and Cryostat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QPUs to customers,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 Sales of QPUs typically include delivery and commissioning lead time of two years after signing the contract and receipt of payment. Considering the length of time between the customers’ payment and the transfer of the equipment, these contracts contain a significant financing component and the transaction price is discounted at the prevailing interest rate in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QPU-related services to customers, revenue is recognized on a straight-line basis over the service period. Pasqal’s service agreements are generally fixed term and straight-line revenue recognition is an appropriate measure of progress towards satisfaction of the performance obligation.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Cryostat sales,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 of 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classifies its ORA Bonds as financial liabilities and measures the ORA Bonds at fair value at each reporting date in the consolidated financial statements. The fair values of these financial liabilities cannot be determined based on quoted prices in active markets and are therefore measured using a valuation model based on discounted expected cash flows, taking into account the different conversion and redemption scenarios over the contractual term. Pasqal calculates the fair value of the ORA Bonds using the following key inputs: recovery rate, expected volatility, credit spread, and an underlying share price derived from the most recent observable transaction, being the latest financing round as of the valuation date. The determination of fair value requires the use of judgement, and changes in the assumptions applied could have a significant impact on the reported fair values of these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Capitalization of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capitalizes certain product development costs when management determines that technological and economic feasibility has been achieved, typically upon reaching defined milestones under its project management model. This process involves significant judgment, including assumptions regarding the technical feasibility of completing the intangible asset such that it will be available for use or sale, Pasqal’s intention and ability to complete the asset and either use or sell it, how the asset will generate future economic benefits, the availability of resources to complete the development, and the ability to reliably measure expenditures incurred during development. Capitalized development costs, net of accumulated amortization totaled €0.3 million and €0.6 million as of December 31, 2025 and 2024, respectively, are presented as other intangible assets on the consolidated statements of financial position, and are subject to impairment testing whenever indicators of impairment arise. Such indicators may include changes in market conditions, technological developments, or lower-than-expected project performance. Adverse changes in these factors or in key assumptions could result in a material impairment charge. Management believes its estimates are reasonable; however, actual results may differ.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accounts for share-based payments in accordance with IFRS 2, </w:t>
      </w:r>
      <w:r>
        <w:rPr>
          <w:rFonts w:ascii="Times New Roman PS Std;serif" w:hAnsi="Times New Roman PS Std;serif"/>
          <w:b w:val="false"/>
          <w:i/>
          <w:caps w:val="false"/>
          <w:smallCaps w:val="false"/>
          <w:sz w:val="20"/>
        </w:rPr>
        <w:t>Share-based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Payment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2</w:t>
      </w:r>
      <w:r>
        <w:rPr>
          <w:rFonts w:ascii="Times New Roman PS Std;serif" w:hAnsi="Times New Roman PS Std;serif"/>
          <w:b w:val="false"/>
          <w:i w:val="false"/>
          <w:caps w:val="false"/>
          <w:smallCaps w:val="false"/>
          <w:sz w:val="20"/>
        </w:rPr>
        <w:t>”). Share-based compensation expense relates to equity awards issued to its employees and non-employees which consists of Founder Share Subscription Warrants (“</w:t>
      </w:r>
      <w:r>
        <w:rPr>
          <w:rFonts w:ascii="Times New Roman PS Std;serif" w:hAnsi="Times New Roman PS Std;serif"/>
          <w:b/>
          <w:i w:val="false"/>
          <w:caps w:val="false"/>
          <w:smallCaps w:val="false"/>
          <w:sz w:val="20"/>
        </w:rPr>
        <w:t>BSPCEs</w:t>
      </w:r>
      <w:r>
        <w:rPr>
          <w:rFonts w:ascii="Times New Roman PS Std;serif" w:hAnsi="Times New Roman PS Std;serif"/>
          <w:b w:val="false"/>
          <w:i w:val="false"/>
          <w:caps w:val="false"/>
          <w:smallCaps w:val="false"/>
          <w:sz w:val="20"/>
        </w:rPr>
        <w:t>”) and Stock Appreciation Rights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with service conditions and options with both service and non-market performance vesting conditions.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share-based payment awards, which consists of BSPCEs, options, and SARs, is measured on the grant date and is estimated using a Monte Carlo simulation model, which involves significant judgment and reliance on complex assumptions. BSPCEs and options are equity settled awards. SARs are cash settled awards. Pasqal calculates the fair value of the share-based compensation using the following key inputs: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interest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volatility: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 probabilistic distribution of potential exit dates is applied.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SARs, fair value is remeasured at each reporting date until settlement, with changes recognized in profit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measures and records compensation expense related to share-based awards based on the fair value of those awards as determined on the date of grant. Pasqal recognizes share-based compensation expense for BSPCEs and options over the service period, which generally represents the vesting period during which an employee provides service in exchange for the award. The expense recorded related to BSPCEs and options is adjusted at each reporting date to reflect the best estimate of the total number of equity instruments expected to be vested. Pasqal recognizes share-based compensation expense for SARs over the service period, which generally represents the vesting period during which an employee provides service in exchange for the award. The expense recorded related to SARs is remeasured each reporting period to reflect the current fair value of Pasqal’s shares and the estimated number of SARs that are expected to be vested.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for awards to non-employees is recognized in the same manner as if we had paid cash in exchange for the goods or services, which is generally over the vesting period of the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also reassesses the number of awards expected to vest based on non-market performance conditions, and any revisions are reflected in the consolidated financial statements. These estimates are subject to significant uncertainty and could materially impact future results. While Pasqal engages external valuation specialists, management retains responsibility for the assumptions used. Assumptions and methodologies are reviewed periodically, and changes may result in material adjustments to compensation expense. Actual outcomes may differ materially from these estimates due to changes in market conditions, volatility, or strategic developments, and such differences could significantly affect reported results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BSPCEs and options are forfeited, any expenses previously recognized are reversed with effect from the date of the forfeiture. When SARs are forfeited, the liability is derecognized, and expenses previously recognized are reversed.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Fair Value of Pasqal’s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privately held company, there has been no public market for Pasqal’s ordinary shares to date. The estimated fair value of Pasqal’s ordinary shares has been determined by its board of directors as of the date of each option grant, with input from management, considering the most recently available third-party valuations of its ordinary shares and its board of directors’ assessment of additional objective and subjective factors that it believed were relevant and which may have changed from the date of the most recent valuation through the date of the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third-party valuations of ordinary shares were estimated by allocating Pasqal’s total equity value to the various classes of shares. Pasqal’s total equity value was projected using a Monte Carlo simulation, incorporating assumptions regarding share price volatility and the expected timing of an exit event. Under each simulated exit scenario, the corresponding equity value is allocated across the various classes of shares in accordance with their respective economic rights. The fair value of Pasqal’s ordinary shares is therefore determined as the average of the simulated values attributable to ordinary shares, discounted at the risk-free interest 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considering the results of these third-party valuations, Pasqal’s board of directors considered various objective and subjective factors to determine the fair value of its ordinary shares as of each grant date,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prices at which Pasqal sold its ordinary shares with preferential rights relative to its ordinary shares at the time of each grant;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 active public market, for Pasqal’s ordinary shares and ordinary shares with preferential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external market conditions affecting the quantum computing industry and trends within the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Pasqal’s financial position, including cash and cash equivalents on hand, and its historical and forecasted performance and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of achieving a liquidity event, such as an initial public offering or sale of Pasqal in light of prevailing market conditions;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analysis of initial public offerings and the market performance of similar companies in the quantum computing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underlying these valuations represented management’s best estimate, which involved inherent uncertainties and the application of management’s judgment. As a result, if Pasqal had used significantly different assumptions or estimates, the fair value of its ordinary shares and its share-based compensation expense could have been materially different. For the year ended December 31, 2025, if there was a 10% increase in the valuation of the ordinary shares at each of the valuation dates and to the underlying exercise price of share-based awards granted during the year, the impact to the share-based compensation expense would have been an increase of €2.3 million. If there was a 10% decrease in the valuation of the ordinary shares at each of the valuation dates and to the underlying exercise price of share-based awards granted during the year, the impact to the share-based compensation expense would have been an decrease of €2.2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public trading market for Pasqal’s ordinary shares has been established in connection with the completion of the Business Combination, it will no longer be necessary for Pasqal’s board of directors to estimate the fair value of its ordinary shares in connection with its accounting for share-based awards and other such awards Pasqal may grant, as the fair value of its ordinary shares will be determined based on the quoted market price of its ordinary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Awards Granted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by grant date the number of shares subject to BSPCEs granted from July 1, 2025 through the date of this prospectus, the per share exercise price of the BSPCEs, the per share fair value of ordinary shares underlying the BSPCEs on each grant date and the per share estimated fair value of the BSPCEs:</w:t>
      </w:r>
    </w:p>
    <w:tbl>
      <w:tblPr>
        <w:tblW w:w="9991" w:type="dxa"/>
        <w:jc w:val="left"/>
        <w:tblInd w:w="0" w:type="dxa"/>
        <w:tblLayout w:type="fixed"/>
        <w:tblCellMar>
          <w:top w:w="0" w:type="dxa"/>
          <w:left w:w="0" w:type="dxa"/>
          <w:bottom w:w="0" w:type="dxa"/>
          <w:right w:w="0" w:type="dxa"/>
        </w:tblCellMar>
      </w:tblPr>
      <w:tblGrid>
        <w:gridCol w:w="1921"/>
        <w:gridCol w:w="146"/>
        <w:gridCol w:w="2041"/>
        <w:gridCol w:w="146"/>
        <w:gridCol w:w="545"/>
        <w:gridCol w:w="1345"/>
        <w:gridCol w:w="146"/>
        <w:gridCol w:w="488"/>
        <w:gridCol w:w="1207"/>
        <w:gridCol w:w="146"/>
        <w:gridCol w:w="512"/>
        <w:gridCol w:w="1348"/>
      </w:tblGrid>
      <w:tr>
        <w:trPr/>
        <w:tc>
          <w:tcPr>
            <w:tcW w:w="19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Subject to </w:t>
              <w:br/>
              <w:t>BSPCEs Granted</w:t>
            </w:r>
          </w:p>
        </w:tc>
        <w:tc>
          <w:tcPr>
            <w:tcW w:w="146" w:type="dxa"/>
            <w:tcBorders/>
            <w:vAlign w:val="bottom"/>
          </w:tcPr>
          <w:p>
            <w:pPr>
              <w:pStyle w:val="TableContents"/>
              <w:bidi w:val="0"/>
              <w:spacing w:before="0" w:after="283"/>
              <w:jc w:val="left"/>
              <w:rPr/>
            </w:pPr>
            <w:r>
              <w:rPr/>
              <w:t> </w:t>
            </w:r>
          </w:p>
        </w:tc>
        <w:tc>
          <w:tcPr>
            <w:tcW w:w="18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Exercise Price of </w:t>
              <w:br/>
              <w:t>BSPCEs</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Fair Value of </w:t>
              <w:br/>
              <w:t>Common Stock</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Estimated Fair </w:t>
              <w:br/>
              <w:t>Value of BSPCEs</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425,380</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58.69</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35.87</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5, 2025</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68,700</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58.57</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37.27</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572,880</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79.31</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31,680</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Prior to the closing of the Business Combination, and in accordance with the Pasqal Board’s decision and the Pasqal Holding Board’s decision, these BSPCE holders will waive 425,380 Pasqal SAS BSPCEs, which will be replaced with 425,380 Pasqal Holding SAS BSPCEs, representing the right to acquire ordinary shares of Pasqal Holding SAS.</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There were no other share-based awards granted from July 31, 2026 through the date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an “emerging growth company,” as defined in Section 2(a) of the Securities Act of 1933, as amended, as modified by the Jumpstart Our Business Startups Act (the “</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 xml:space="preserve">”). As such, Pasqal is eligible to take advantage of certain exemptions from various reporting requirements that are otherwise applicable to other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These provisions include: (i) being permitted to provide only two years of audited financial statements in addition to any required unaudited interim financial statements and a correspondingly reduced “Management’s Discussion and Analysis of Financial Condition and Results of Operations” disclosure in this prospectus; (ii) not being required to comply with the auditor attestation requirements in the assessment of the internal control over financial reporting pursuant to Section 404 of the Sarbanes-Oxley Act; (iii) reduced disclosure obligations regarding executive compensation; (iv) exemptions from the requirements of holding a nonbinding advisory vote on executive compensation and shareholder approval of any golden parachute payments not previously approved; and (v) exemptions from compliance with the requirements of the Public Company Accounting Oversight Board regarding the communication of critical audit matters in the auditor’s report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Pasqal has elected not to opt out of such extended transition period which means that when a standard is issued or revised and it has different application dates for public or private companies, Pasqal, as an emerging growth company, will adopt the new or revised standard at the time private companies adopt the new or revised standard. This may make comparison of Pasqal’s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will remain an emerging growth company under the JOBS Act until the earliest of (a) the last day of the fiscal year following the fifth anniversary of the effectiveness of the registration statement of which this prospectus forms a part, (b) the last date of the fiscal year in which Pasqal’s total annual gross revenue is equal to or more than $1.235 billion, (c) the date on which Pasqal is deemed to be a “large accelerated filer” under the rules of the SEC with at least $700.0 million of outstanding securities held by non-affiliates or (d) the date on which Pasqal has issued more than $1.0 billion in non-convertible debt securities during the previous three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using foreign private issuer forms for Exchange Act reporting requirements (Forms 20-F and 6-K), New Pasqal will not be permitted to take advantage of the scaled reporting requirements available for smaller reporting companies.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exposed to market risk in the ordinary course of its business. Market risk represents the risk of loss that may impact Pasqal’s financial position due to adverse changes in financial market prices and rates.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of financial loss due to adverse changes in the value of assets and liabilities as a result of movements in interest rates. As of December 31, 2025, Pasqal’s debt portfolio is comprised entirely of fixed-rate debt. As of December 31, 2024, Pasqal’s debt portfolio is comprised of 97% fixed-rate debt and 3% variable-rate debt. Other than certain interest-bearing assets and instruments classified at amortized cost, Pasqal has no other significant interest-bearing instruments. Pasqal considers its exposure to interest rate risk to be low and does not expect significant impacts from potential interest rate fluctuations.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Exchange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risk arises when future commercial transactions or recognized assets and liabilities are denominated in a currency other than the respective group companies’ functional currency. Pasqal has limited exposure to foreign exchange fluctuations. As of December 31, 2025 and 2024, substantially all of Pasqal’s revenue was denominated in Euros. In addition, financial liabilities and lease liabilities are primarily denominated in the functional currencies of the respective entities, which further limits its foreign exchange risk exposure. Based on Pasqal’s foreign currency-denominated cash balances as of December 31, 2025 and 2024, a hypothetical 10% change in the relative value of Euros to other currencies during the years ended December 31, 2025 and 2024 would not have had a material effect on Pasqal’s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0"/>
      <w:bookmarkEnd w:id="10"/>
      <w:r>
        <w:rPr>
          <w:rFonts w:ascii="Times New Roman PS Std;serif" w:hAnsi="Times New Roman PS Std;serif"/>
          <w:b/>
          <w:i w:val="false"/>
          <w:caps w:val="false"/>
          <w:smallCaps w:val="false"/>
          <w:sz w:val="20"/>
        </w:rPr>
        <w:t xml:space="preserve">UNAUDITED PRO FORMA CONDENSED COMBINED FINANCIAL INFORMATION </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Defined terms included below have the same meaning as terms defined and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Parent</w:t>
      </w:r>
      <w:r>
        <w:rPr>
          <w:rFonts w:ascii="Times New Roman PS Std;serif" w:hAnsi="Times New Roman PS Std;serif"/>
          <w:b w:val="false"/>
          <w:i w:val="false"/>
          <w:caps w:val="false"/>
          <w:smallCaps w:val="false"/>
          <w:sz w:val="20"/>
        </w:rPr>
        <w:t>”), a special purpose acquisition company, Bleichroeder Acquisition France Merger Sub 2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a wholly-owned subsidiary of Bleichroeder, and Pasqal Holding SAS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entered into an agreement and plan of merger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The Business Combination Agreement provides that, among other things and subject to the terms and conditions therein, (i) the merger of Bleichroeder with and into Merger Sub effecting the Reincorporation Merger, with Merger Sub continuing as the surviving entity of the Reincorporation Merger as the “Bleichroeder Surviving Corporation” (such transaction,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(ii) as promptly as practicable after the date that the Reincorporation Plan of Merger has been registered by the Cayman Registrar in accordance with the Cayman Companies Act, or such later time as specified in or otherwise in accordance with the Reincorporation Plan of Merger and the Cayman Companies Act (the “</w:t>
      </w:r>
      <w:r>
        <w:rPr>
          <w:rFonts w:ascii="Times New Roman PS Std;serif" w:hAnsi="Times New Roman PS Std;serif"/>
          <w:b/>
          <w:i w:val="false"/>
          <w:caps w:val="false"/>
          <w:smallCaps w:val="false"/>
          <w:sz w:val="20"/>
        </w:rPr>
        <w:t>Reincorporation Merger Effective Time</w:t>
      </w:r>
      <w:r>
        <w:rPr>
          <w:rFonts w:ascii="Times New Roman PS Std;serif" w:hAnsi="Times New Roman PS Std;serif"/>
          <w:b w:val="false"/>
          <w:i w:val="false"/>
          <w:caps w:val="false"/>
          <w:smallCaps w:val="false"/>
          <w:sz w:val="20"/>
        </w:rPr>
        <w:t>”), the merger of Legacy Pasqal with and into Bleichroeder Surviving Corporation by way of a merger of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effecting the Merger, with Bleichroeder Surviving Corporation continuing as the surviving company and changing its name to “Pasqal Holding SA”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and (iii) the listing of the Ordinary Shares and the Warrants for trading on The Nasdaq Stock Market LLC (“</w:t>
      </w:r>
      <w:r>
        <w:rPr>
          <w:rFonts w:ascii="Times New Roman PS Std;serif" w:hAnsi="Times New Roman PS Std;serif"/>
          <w:b/>
          <w:i w:val="false"/>
          <w:caps w:val="false"/>
          <w:smallCaps w:val="false"/>
          <w:sz w:val="20"/>
        </w:rPr>
        <w:t>Nasdaq</w:t>
      </w:r>
      <w:r>
        <w:rPr>
          <w:rFonts w:ascii="Times New Roman PS Std;serif" w:hAnsi="Times New Roman PS Std;serif"/>
          <w:b w:val="false"/>
          <w:i w:val="false"/>
          <w:caps w:val="false"/>
          <w:smallCaps w:val="false"/>
          <w:sz w:val="20"/>
        </w:rPr>
        <w:t>”). Bleichroeder Surviving Corporation following the consummation of the Merger is referred to herein as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New Pasqal</w:t>
      </w:r>
      <w:r>
        <w:rPr>
          <w:rFonts w:ascii="Times New Roman PS Std;serif" w:hAnsi="Times New Roman PS Std;serif"/>
          <w:b w:val="false"/>
          <w:i w:val="false"/>
          <w:caps w:val="false"/>
          <w:smallCaps w:val="false"/>
          <w:sz w:val="20"/>
        </w:rPr>
        <w:t>” and the Reincorporation Merger and the Merger are collectively referred to herein as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The Business Combination closed on August 27, 2026 (the “</w:t>
      </w:r>
      <w:r>
        <w:rPr>
          <w:rFonts w:ascii="Times New Roman PS Std;serif" w:hAnsi="Times New Roman PS Std;serif"/>
          <w:b/>
          <w:i w:val="false"/>
          <w:caps w:val="false"/>
          <w:smallCaps w:val="false"/>
          <w:sz w:val="20"/>
        </w:rPr>
        <w:t>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Agreement, 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and its subsidiaries became the wholly-owned subsidiary of Legacy Pasqal. Following the consummation of the Pasqal Reorganization, Legacy Pasqal owns 100% of the share capital of Pasqal SAS and its subsidiaries. Pasqal SAS and Legacy Pasqal are collectively referred to herein as “Legacy Pasqal”. See Note 1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January and February 2026, Legacy Pasqal executed a shareholders’ agreement with certain new and existing investors for the issuance of 499,769 Series C shares of Legacy Pasqal (“</w:t>
      </w:r>
      <w:r>
        <w:rPr>
          <w:rFonts w:ascii="Times New Roman PS Std;serif" w:hAnsi="Times New Roman PS Std;serif"/>
          <w:b/>
          <w:i w:val="false"/>
          <w:caps w:val="false"/>
          <w:smallCaps w:val="false"/>
          <w:sz w:val="20"/>
        </w:rPr>
        <w:t>Legacy Pasqal Series C Shares</w:t>
      </w:r>
      <w:r>
        <w:rPr>
          <w:rFonts w:ascii="Times New Roman PS Std;serif" w:hAnsi="Times New Roman PS Std;serif"/>
          <w:b w:val="false"/>
          <w:i w:val="false"/>
          <w:caps w:val="false"/>
          <w:smallCaps w:val="false"/>
          <w:sz w:val="20"/>
        </w:rPr>
        <w:t>”) at a price of €139.54 per share for total gross proceeds of €69.7 million (the “</w:t>
      </w:r>
      <w:r>
        <w:rPr>
          <w:rFonts w:ascii="Times New Roman PS Std;serif" w:hAnsi="Times New Roman PS Std;serif"/>
          <w:b/>
          <w:i w:val="false"/>
          <w:caps w:val="false"/>
          <w:smallCaps w:val="false"/>
          <w:sz w:val="20"/>
        </w:rPr>
        <w:t>Series C Financing</w:t>
      </w:r>
      <w:r>
        <w:rPr>
          <w:rFonts w:ascii="Times New Roman PS Std;serif" w:hAnsi="Times New Roman PS Std;serif"/>
          <w:b w:val="false"/>
          <w:i w:val="false"/>
          <w:caps w:val="false"/>
          <w:smallCaps w:val="false"/>
          <w:sz w:val="20"/>
        </w:rPr>
        <w:t xml:space="preserve">”). See Note 3, </w:t>
      </w:r>
      <w:r>
        <w:rPr>
          <w:rFonts w:ascii="Times New Roman PS Std;serif" w:hAnsi="Times New Roman PS Std;serif"/>
          <w:b w:val="false"/>
          <w:i/>
          <w:caps w:val="false"/>
          <w:smallCaps w:val="false"/>
          <w:sz w:val="20"/>
        </w:rPr>
        <w:t xml:space="preserve">Series C Financing </w:t>
      </w:r>
      <w:r>
        <w:rPr>
          <w:rFonts w:ascii="Times New Roman PS Std;serif" w:hAnsi="Times New Roman PS Std;serif"/>
          <w:b w:val="false"/>
          <w:i w:val="false"/>
          <w:caps w:val="false"/>
          <w:smallCaps w:val="false"/>
          <w:sz w:val="20"/>
        </w:rPr>
        <w:t>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from April 2025 to December 2025, Legacy Pasqal entered into subscription agreements with certain new and existing investors for the purchase of redeemable bonds (the “</w:t>
      </w:r>
      <w:r>
        <w:rPr>
          <w:rFonts w:ascii="Times New Roman PS Std;serif" w:hAnsi="Times New Roman PS Std;serif"/>
          <w:b/>
          <w:i w:val="false"/>
          <w:caps w:val="false"/>
          <w:smallCaps w:val="false"/>
          <w:sz w:val="20"/>
        </w:rPr>
        <w:t>Redeemable Bonds</w:t>
      </w:r>
      <w:r>
        <w:rPr>
          <w:rFonts w:ascii="Times New Roman PS Std;serif" w:hAnsi="Times New Roman PS Std;serif"/>
          <w:b w:val="false"/>
          <w:i w:val="false"/>
          <w:caps w:val="false"/>
          <w:smallCaps w:val="false"/>
          <w:sz w:val="20"/>
        </w:rPr>
        <w:t xml:space="preserve">”) for aggregate proceeds of €68.3 million. On March 2, 2026, the Redeemable Bonds were redeemed for 682,448 Legacy Pasqal Series C Shares in connection with the Series C Financing. See Note 3, </w:t>
      </w:r>
      <w:r>
        <w:rPr>
          <w:rFonts w:ascii="Times New Roman PS Std;serif" w:hAnsi="Times New Roman PS Std;serif"/>
          <w:b w:val="false"/>
          <w:i/>
          <w:caps w:val="false"/>
          <w:smallCaps w:val="false"/>
          <w:sz w:val="20"/>
        </w:rPr>
        <w:t>Redeemable Bonds</w:t>
      </w:r>
      <w:r>
        <w:rPr>
          <w:rFonts w:ascii="Times New Roman PS Std;serif" w:hAnsi="Times New Roman PS Std;serif"/>
          <w:b w:val="false"/>
          <w:i w:val="false"/>
          <w:caps w:val="false"/>
          <w:smallCaps w:val="false"/>
          <w:sz w:val="20"/>
        </w:rPr>
        <w:t xml:space="preserve">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Bleichroeder and Merger Sub entered into a securities purchase agreement, dated as of March 4, 2026 and as amended on May 23, 2026, with certain investors providing for the issuance of $312.5 million aggregate principal amount of senior unsecured convertible bonds convertible into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receive warrants to subscribe up to a number of New Pasqal Ordinary Shares equal to 125% of the total number of New Pasqal Ordinary Shares into which the Senior Unsecured Convertible Bonds are initially convertible at an exercise price of $12.00 per New Pasqal Ordinary Share (each, an “</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for an aggregate purchase price of $250.0 million, reflecting a 20% original issue discount in a private placement (such investment, the “</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xml:space="preserve">”). Substantially concurrently with the Closing, the Company consummated the March 2026 Financing, pursuant to which the Company issued $312.5 million aggregate principal amount of Senior Unsecured Convertible Bonds, initially convertible into 26,041,667 Ordinary Shares at an initial conversion price of $12.00 per Ordinary Share, together with 32,552,083 Investment Warrants exercisable at $12.00 per Ordinary Share. See Note 1, </w:t>
      </w:r>
      <w:r>
        <w:rPr>
          <w:rFonts w:ascii="Times New Roman PS Std;serif" w:hAnsi="Times New Roman PS Std;serif"/>
          <w:b w:val="false"/>
          <w:i/>
          <w:caps w:val="false"/>
          <w:smallCaps w:val="false"/>
          <w:sz w:val="20"/>
        </w:rPr>
        <w:t>March 2026 Financing</w:t>
      </w:r>
      <w:r>
        <w:rPr>
          <w:rFonts w:ascii="Times New Roman PS Std;serif" w:hAnsi="Times New Roman PS Std;serif"/>
          <w:b w:val="false"/>
          <w:i w:val="false"/>
          <w:caps w:val="false"/>
          <w:smallCaps w:val="false"/>
          <w:sz w:val="20"/>
        </w:rPr>
        <w:t xml:space="preserve">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unaudited pro forma condensed combined financial information presents the combination of the financial information of Bleichroeder and Legacy Pasqal as of December 31, 2025, after giving effect to the transactions, including the Business Combination, the Pasqal Reorganization, the subsequent financing events related to the Series C Financing, redemption of the Redeemable Bonds and other subsequent financing events (collectively,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presented as “Pasqal Financing Transaction Adjustments</w:t>
      </w:r>
      <w:r>
        <w:rPr>
          <w:rFonts w:ascii="Times New Roman PS Std;serif" w:hAnsi="Times New Roman PS Std;serif"/>
          <w:b w:val="false"/>
          <w:i w:val="false"/>
          <w:caps w:val="false"/>
          <w:smallCaps w:val="false"/>
          <w:sz w:val="20"/>
        </w:rPr>
        <w:t>”), the March 2026 Financing and related adjustments described in the accompanying notes (together, the “</w:t>
      </w:r>
      <w:r>
        <w:rPr>
          <w:rFonts w:ascii="Times New Roman PS Std;serif" w:hAnsi="Times New Roman PS Std;serif"/>
          <w:b/>
          <w:i w:val="false"/>
          <w:caps w:val="false"/>
          <w:smallCaps w:val="false"/>
          <w:sz w:val="20"/>
        </w:rPr>
        <w:t>Transactions</w:t>
      </w:r>
      <w:r>
        <w:rPr>
          <w:rFonts w:ascii="Times New Roman PS Std;serif" w:hAnsi="Times New Roman PS Std;serif"/>
          <w:b w:val="false"/>
          <w:i w:val="false"/>
          <w:caps w:val="false"/>
          <w:smallCaps w:val="false"/>
          <w:sz w:val="20"/>
        </w:rPr>
        <w:t>”). The unaudited pro forma condensed combined balance sheet as of December 31, 2025 reflects adjustments that depict the accounting for the Transactions as if they had been consummated on December 31, 2025 (the “</w:t>
      </w:r>
      <w:r>
        <w:rPr>
          <w:rFonts w:ascii="Times New Roman PS Std;serif" w:hAnsi="Times New Roman PS Std;serif"/>
          <w:b/>
          <w:i w:val="false"/>
          <w:caps w:val="false"/>
          <w:smallCaps w:val="false"/>
          <w:sz w:val="20"/>
        </w:rPr>
        <w:t>Balance Sheet Pro Forma Transaction Accounting Adjustments</w:t>
      </w:r>
      <w:r>
        <w:rPr>
          <w:rFonts w:ascii="Times New Roman PS Std;serif" w:hAnsi="Times New Roman PS Std;serif"/>
          <w:b w:val="false"/>
          <w:i w:val="false"/>
          <w:caps w:val="false"/>
          <w:smallCaps w:val="false"/>
          <w:sz w:val="20"/>
        </w:rPr>
        <w:t>”). The unaudited pro forma condensed combined statement of operations for the year ended December 31, 2025 combines the historical results of Bleichroeder and Legacy Pasqal for this period and depicts the accounting for the Transactions as if they had occurred on January 1, 2025, which is the beginning of the earliest period presented (“</w:t>
      </w:r>
      <w:r>
        <w:rPr>
          <w:rFonts w:ascii="Times New Roman PS Std;serif" w:hAnsi="Times New Roman PS Std;serif"/>
          <w:b/>
          <w:i w:val="false"/>
          <w:caps w:val="false"/>
          <w:smallCaps w:val="false"/>
          <w:sz w:val="20"/>
        </w:rPr>
        <w:t>Statements of Operations Pro Forma Transaction Accounting Adjustments</w:t>
      </w:r>
      <w:r>
        <w:rPr>
          <w:rFonts w:ascii="Times New Roman PS Std;serif" w:hAnsi="Times New Roman PS Std;serif"/>
          <w:b w:val="false"/>
          <w:i w:val="false"/>
          <w:caps w:val="false"/>
          <w:smallCaps w:val="false"/>
          <w:sz w:val="20"/>
        </w:rPr>
        <w:t>”). Collectively, the Balance Sheet Pro Forma Transaction Accounting Adjustments and Statements of Operations Pro Forma Transaction Accounting Adjustments are referred to in this section as “transaction accounting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derived from and should be read in conjunction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accompanying notes to the unaudited pro forma condensed combined financial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Pasqal SAS for the year ended December 31, 2025, and the related notes included elsewhere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Bleichroeder for the period from August 27, 2025 (Inception) through December 31, 2025, and the related notes included elsewhere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balance sheet of Bleichroeder as of January 9, 2026, and the related notes filed on Form 8-K on January 9,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Combination Agreement incorporated by reference into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titled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other financial information relating to Legacy Pasqal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audited consolidated financial statements of Legacy Pasqal have been prepared in accordance with IFRS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 and presented in euros. The historical audited financial statements of Bleichroeder have been prepared in accordance with U.S. generally accepted accounting principles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presented in U.S. dollars. The historical financial information of Bleichroeder has been translated into euros and adjusted to give effect to the differences between U.S. GAAP and IFRS, for the purposes of the unaudited pro forma condensed combined financial information. Refer to Note 5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provided for illustrative purposes only and is not necessarily indicative of what the actual results of operations and financial position would have been had the Transactions taken place on the dates indicated, nor is it indicative of the future consolidated results of operations or financial position of the combined company. The actual financial position and results of operations may differ significantly from the pro forma amounts reflected herein due to a variety of factors. The unaudited pro forma adjustments represent management’s estimates based on information available and reflect assumptions and methodologies that management believes are reasonable under the circumstances. Actual amounts ultimately recognized may differ from these estimates as a result of the completion of additional analyses and valuation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thousands, except share and per share amounts)</w:t>
      </w:r>
    </w:p>
    <w:tbl>
      <w:tblPr>
        <w:tblW w:w="17467" w:type="dxa"/>
        <w:jc w:val="left"/>
        <w:tblInd w:w="0" w:type="dxa"/>
        <w:tblLayout w:type="fixed"/>
        <w:tblCellMar>
          <w:top w:w="0" w:type="dxa"/>
          <w:left w:w="0" w:type="dxa"/>
          <w:bottom w:w="0" w:type="dxa"/>
          <w:right w:w="0" w:type="dxa"/>
        </w:tblCellMar>
      </w:tblPr>
      <w:tblGrid>
        <w:gridCol w:w="1436"/>
        <w:gridCol w:w="146"/>
        <w:gridCol w:w="345"/>
        <w:gridCol w:w="526"/>
        <w:gridCol w:w="146"/>
        <w:gridCol w:w="286"/>
        <w:gridCol w:w="751"/>
        <w:gridCol w:w="206"/>
        <w:gridCol w:w="146"/>
        <w:gridCol w:w="316"/>
        <w:gridCol w:w="146"/>
        <w:gridCol w:w="286"/>
        <w:gridCol w:w="751"/>
        <w:gridCol w:w="146"/>
        <w:gridCol w:w="444"/>
        <w:gridCol w:w="631"/>
        <w:gridCol w:w="321"/>
        <w:gridCol w:w="146"/>
        <w:gridCol w:w="316"/>
        <w:gridCol w:w="146"/>
        <w:gridCol w:w="286"/>
        <w:gridCol w:w="811"/>
        <w:gridCol w:w="206"/>
        <w:gridCol w:w="146"/>
        <w:gridCol w:w="316"/>
        <w:gridCol w:w="146"/>
        <w:gridCol w:w="286"/>
        <w:gridCol w:w="661"/>
        <w:gridCol w:w="146"/>
        <w:gridCol w:w="286"/>
        <w:gridCol w:w="751"/>
        <w:gridCol w:w="146"/>
        <w:gridCol w:w="326"/>
        <w:gridCol w:w="755"/>
        <w:gridCol w:w="146"/>
        <w:gridCol w:w="316"/>
        <w:gridCol w:w="146"/>
        <w:gridCol w:w="286"/>
        <w:gridCol w:w="751"/>
        <w:gridCol w:w="146"/>
        <w:gridCol w:w="298"/>
        <w:gridCol w:w="783"/>
        <w:gridCol w:w="146"/>
        <w:gridCol w:w="316"/>
        <w:gridCol w:w="146"/>
        <w:gridCol w:w="286"/>
        <w:gridCol w:w="796"/>
      </w:tblGrid>
      <w:tr>
        <w:trPr/>
        <w:tc>
          <w:tcPr>
            <w:tcW w:w="143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913" w:type="dxa"/>
            <w:gridSpan w:val="2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Bleichroeder</w:t>
            </w:r>
          </w:p>
        </w:tc>
        <w:tc>
          <w:tcPr>
            <w:tcW w:w="146" w:type="dxa"/>
            <w:tcBorders/>
            <w:vAlign w:val="bottom"/>
          </w:tcPr>
          <w:p>
            <w:pPr>
              <w:pStyle w:val="TableContents"/>
              <w:bidi w:val="0"/>
              <w:spacing w:before="0" w:after="283"/>
              <w:jc w:val="left"/>
              <w:rPr/>
            </w:pPr>
            <w:r>
              <w:rPr/>
              <w:t> </w:t>
            </w:r>
          </w:p>
        </w:tc>
        <w:tc>
          <w:tcPr>
            <w:tcW w:w="3909"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Legacy Pasqal</w:t>
            </w:r>
          </w:p>
        </w:tc>
        <w:tc>
          <w:tcPr>
            <w:tcW w:w="146" w:type="dxa"/>
            <w:tcBorders/>
            <w:vAlign w:val="bottom"/>
          </w:tcPr>
          <w:p>
            <w:pPr>
              <w:pStyle w:val="TableContents"/>
              <w:bidi w:val="0"/>
              <w:spacing w:before="0" w:after="283"/>
              <w:jc w:val="left"/>
              <w:rPr/>
            </w:pPr>
            <w:r>
              <w:rPr/>
              <w:t> </w:t>
            </w:r>
          </w:p>
        </w:tc>
        <w:tc>
          <w:tcPr>
            <w:tcW w:w="2771" w:type="dxa"/>
            <w:gridSpan w:val="7"/>
            <w:tcBorders/>
            <w:vAlign w:val="bottom"/>
          </w:tcPr>
          <w:p>
            <w:pPr>
              <w:pStyle w:val="TableContents"/>
              <w:bidi w:val="0"/>
              <w:spacing w:before="0" w:after="283"/>
              <w:jc w:val="left"/>
              <w:rPr/>
            </w:pPr>
            <w:r>
              <w:rPr/>
              <w:t> </w:t>
            </w:r>
          </w:p>
        </w:tc>
      </w:tr>
      <w:tr>
        <w:trPr/>
        <w:tc>
          <w:tcPr>
            <w:tcW w:w="14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 xml:space="preserve">(US </w:t>
              <w:br/>
              <w:t>GAAP)</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IPO </w:t>
              <w:br/>
              <w:t xml:space="preserve">Adjustments </w:t>
              <w:br/>
              <w:t>(Note 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 xml:space="preserve">(US </w:t>
              <w:br/>
              <w:t>GAAP)</w:t>
            </w:r>
          </w:p>
        </w:tc>
        <w:tc>
          <w:tcPr>
            <w:tcW w:w="146" w:type="dxa"/>
            <w:tcBorders/>
            <w:vAlign w:val="bottom"/>
          </w:tcPr>
          <w:p>
            <w:pPr>
              <w:pStyle w:val="TableContents"/>
              <w:bidi w:val="0"/>
              <w:spacing w:before="0" w:after="283"/>
              <w:jc w:val="left"/>
              <w:rPr/>
            </w:pPr>
            <w:r>
              <w:rPr/>
              <w:t> </w:t>
            </w:r>
          </w:p>
        </w:tc>
        <w:tc>
          <w:tcPr>
            <w:tcW w:w="139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Adjustments </w:t>
              <w:br/>
              <w:t xml:space="preserve">and </w:t>
              <w:br/>
              <w:t xml:space="preserve">Reclassifications </w:t>
              <w:br/>
              <w:t>(Note 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(IFRS)</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Pasqal </w:t>
              <w:br/>
              <w:t xml:space="preserve">Financing </w:t>
              <w:br/>
              <w:t xml:space="preserve">Transaction </w:t>
              <w:br/>
              <w:t xml:space="preserve">Adjustments </w:t>
              <w:br/>
              <w:t>(Note 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 xml:space="preserve">Combined </w:t>
              <w:br/>
              <w:t>(IFRS)</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Assets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Non-current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Goodwill</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19,676</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19,676</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19,676</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Other intangible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17,451</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17,451</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17,451</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Property, plant and equipment, </w:t>
              <w:br/>
              <w:t>net</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28,119</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28,119</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28,119</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Right-of-use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8,978</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8,978</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8,978</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Deposits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8,421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8,421</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8,421</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Government grant receivables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Deferred offering costs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non-current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83,844</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83,844</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83,844</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Current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Inventories, net</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11,309</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11,309</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11,309</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Trade receivables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5,608</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5,608</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5,608</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Government grant receivables – current</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8,181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8,181</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8,181</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Tax receivables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Other current assets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2,010</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2,010</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2,014</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Prepaid expenses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3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Cash and cash equivalents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1,777</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18,282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11,380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73,762</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69,738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143,634</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212,820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343,758</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(24,076)</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(7,696)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Cash held in Trust Account</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244,744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244,744</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(226,462)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6,597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(18,282)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(4,320)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current assets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246,521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246,525</w:t>
            </w:r>
          </w:p>
        </w:tc>
        <w:tc>
          <w:tcPr>
            <w:tcW w:w="146" w:type="dxa"/>
            <w:tcBorders/>
            <w:vAlign w:val="bottom"/>
          </w:tcPr>
          <w:p>
            <w:pPr>
              <w:pStyle w:val="TableContents"/>
              <w:bidi w:val="0"/>
              <w:spacing w:before="0" w:after="283"/>
              <w:jc w:val="left"/>
              <w:rPr/>
            </w:pPr>
            <w:r>
              <w:rPr/>
              <w:t> </w:t>
            </w:r>
          </w:p>
        </w:tc>
        <w:tc>
          <w:tcPr>
            <w:tcW w:w="4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(216,859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103,980</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69,872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173,852</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188,744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373,980</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assets</w:t>
            </w:r>
          </w:p>
        </w:tc>
        <w:tc>
          <w:tcPr>
            <w:tcW w:w="146" w:type="dxa"/>
            <w:tcBorders/>
            <w:shd w:fill="CCEEFF" w:val="clear"/>
            <w:vAlign w:val="bottom"/>
          </w:tcPr>
          <w:p>
            <w:pPr>
              <w:pStyle w:val="TableContents"/>
              <w:bidi w:val="0"/>
              <w:spacing w:before="0" w:after="283"/>
              <w:jc w:val="left"/>
              <w:rPr/>
            </w:pPr>
            <w:r>
              <w:rPr/>
              <w:t> </w:t>
            </w:r>
          </w:p>
        </w:tc>
        <w:tc>
          <w:tcPr>
            <w:tcW w:w="3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246,337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246,525</w:t>
            </w:r>
          </w:p>
        </w:tc>
        <w:tc>
          <w:tcPr>
            <w:tcW w:w="146" w:type="dxa"/>
            <w:tcBorders/>
            <w:shd w:fill="CCEEFF" w:val="clear"/>
            <w:vAlign w:val="bottom"/>
          </w:tcPr>
          <w:p>
            <w:pPr>
              <w:pStyle w:val="TableContents"/>
              <w:bidi w:val="0"/>
              <w:spacing w:before="0" w:after="283"/>
              <w:jc w:val="left"/>
              <w:rPr/>
            </w:pPr>
            <w:r>
              <w:rPr/>
              <w:t> </w:t>
            </w:r>
          </w:p>
        </w:tc>
        <w:tc>
          <w:tcPr>
            <w:tcW w:w="4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(216,859)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11,384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187,824</w:t>
            </w:r>
          </w:p>
        </w:tc>
        <w:tc>
          <w:tcPr>
            <w:tcW w:w="146" w:type="dxa"/>
            <w:tcBorders/>
            <w:shd w:fill="CCEEFF" w:val="clear"/>
            <w:vAlign w:val="bottom"/>
          </w:tcPr>
          <w:p>
            <w:pPr>
              <w:pStyle w:val="TableContents"/>
              <w:bidi w:val="0"/>
              <w:spacing w:before="0" w:after="283"/>
              <w:jc w:val="left"/>
              <w:rPr/>
            </w:pPr>
            <w:r>
              <w:rPr/>
              <w:t> </w:t>
            </w:r>
          </w:p>
        </w:tc>
        <w:tc>
          <w:tcPr>
            <w:tcW w:w="3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69,872</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257,696</w:t>
            </w:r>
          </w:p>
        </w:tc>
        <w:tc>
          <w:tcPr>
            <w:tcW w:w="146" w:type="dxa"/>
            <w:tcBorders/>
            <w:shd w:fill="CCEEFF" w:val="clear"/>
            <w:vAlign w:val="bottom"/>
          </w:tcPr>
          <w:p>
            <w:pPr>
              <w:pStyle w:val="TableContents"/>
              <w:bidi w:val="0"/>
              <w:spacing w:before="0" w:after="283"/>
              <w:jc w:val="left"/>
              <w:rPr/>
            </w:pPr>
            <w:r>
              <w:rPr/>
              <w:t> </w:t>
            </w:r>
          </w:p>
        </w:tc>
        <w:tc>
          <w:tcPr>
            <w:tcW w:w="2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188,744</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457,824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thousands, except share and per share amounts)</w:t>
      </w:r>
    </w:p>
    <w:tbl>
      <w:tblPr>
        <w:tblW w:w="16593" w:type="dxa"/>
        <w:jc w:val="left"/>
        <w:tblInd w:w="0" w:type="dxa"/>
        <w:tblLayout w:type="fixed"/>
        <w:tblCellMar>
          <w:top w:w="0" w:type="dxa"/>
          <w:left w:w="0" w:type="dxa"/>
          <w:bottom w:w="0" w:type="dxa"/>
          <w:right w:w="0" w:type="dxa"/>
        </w:tblCellMar>
      </w:tblPr>
      <w:tblGrid>
        <w:gridCol w:w="851"/>
        <w:gridCol w:w="146"/>
        <w:gridCol w:w="286"/>
        <w:gridCol w:w="406"/>
        <w:gridCol w:w="206"/>
        <w:gridCol w:w="146"/>
        <w:gridCol w:w="337"/>
        <w:gridCol w:w="744"/>
        <w:gridCol w:w="146"/>
        <w:gridCol w:w="316"/>
        <w:gridCol w:w="146"/>
        <w:gridCol w:w="286"/>
        <w:gridCol w:w="571"/>
        <w:gridCol w:w="206"/>
        <w:gridCol w:w="146"/>
        <w:gridCol w:w="375"/>
        <w:gridCol w:w="749"/>
        <w:gridCol w:w="272"/>
        <w:gridCol w:w="146"/>
        <w:gridCol w:w="316"/>
        <w:gridCol w:w="146"/>
        <w:gridCol w:w="286"/>
        <w:gridCol w:w="661"/>
        <w:gridCol w:w="206"/>
        <w:gridCol w:w="146"/>
        <w:gridCol w:w="316"/>
        <w:gridCol w:w="146"/>
        <w:gridCol w:w="286"/>
        <w:gridCol w:w="721"/>
        <w:gridCol w:w="146"/>
        <w:gridCol w:w="286"/>
        <w:gridCol w:w="721"/>
        <w:gridCol w:w="146"/>
        <w:gridCol w:w="307"/>
        <w:gridCol w:w="774"/>
        <w:gridCol w:w="146"/>
        <w:gridCol w:w="316"/>
        <w:gridCol w:w="146"/>
        <w:gridCol w:w="286"/>
        <w:gridCol w:w="811"/>
        <w:gridCol w:w="146"/>
        <w:gridCol w:w="286"/>
        <w:gridCol w:w="811"/>
        <w:gridCol w:w="146"/>
        <w:gridCol w:w="316"/>
        <w:gridCol w:w="146"/>
        <w:gridCol w:w="367"/>
        <w:gridCol w:w="579"/>
      </w:tblGrid>
      <w:tr>
        <w:trPr/>
        <w:tc>
          <w:tcPr>
            <w:tcW w:w="85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714" w:type="dxa"/>
            <w:gridSpan w:val="2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Bleichroeder</w:t>
            </w:r>
          </w:p>
        </w:tc>
        <w:tc>
          <w:tcPr>
            <w:tcW w:w="146" w:type="dxa"/>
            <w:tcBorders/>
            <w:vAlign w:val="bottom"/>
          </w:tcPr>
          <w:p>
            <w:pPr>
              <w:pStyle w:val="TableContents"/>
              <w:bidi w:val="0"/>
              <w:spacing w:before="0" w:after="283"/>
              <w:jc w:val="left"/>
              <w:rPr/>
            </w:pPr>
            <w:r>
              <w:rPr/>
              <w:t> </w:t>
            </w:r>
          </w:p>
        </w:tc>
        <w:tc>
          <w:tcPr>
            <w:tcW w:w="3939"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Legacy Pasqal</w:t>
            </w:r>
          </w:p>
        </w:tc>
        <w:tc>
          <w:tcPr>
            <w:tcW w:w="146" w:type="dxa"/>
            <w:tcBorders/>
            <w:vAlign w:val="bottom"/>
          </w:tcPr>
          <w:p>
            <w:pPr>
              <w:pStyle w:val="TableContents"/>
              <w:bidi w:val="0"/>
              <w:spacing w:before="0" w:after="283"/>
              <w:jc w:val="left"/>
              <w:rPr/>
            </w:pPr>
            <w:r>
              <w:rPr/>
              <w:t> </w:t>
            </w:r>
          </w:p>
        </w:tc>
        <w:tc>
          <w:tcPr>
            <w:tcW w:w="2651" w:type="dxa"/>
            <w:gridSpan w:val="7"/>
            <w:tcBorders/>
            <w:vAlign w:val="bottom"/>
          </w:tcPr>
          <w:p>
            <w:pPr>
              <w:pStyle w:val="TableContents"/>
              <w:bidi w:val="0"/>
              <w:spacing w:before="0" w:after="283"/>
              <w:jc w:val="left"/>
              <w:rPr/>
            </w:pPr>
            <w:r>
              <w:rPr/>
              <w:t> </w:t>
            </w:r>
          </w:p>
        </w:tc>
      </w:tr>
      <w:tr>
        <w:trPr/>
        <w:tc>
          <w:tcPr>
            <w:tcW w:w="8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 xml:space="preserve">(US </w:t>
              <w:br/>
              <w:t>GAAP)</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IPO </w:t>
              <w:br/>
              <w:t xml:space="preserve">Adjustments </w:t>
              <w:br/>
              <w:t>(Note 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 xml:space="preserve">(US </w:t>
              <w:br/>
              <w:t>GAAP)</w:t>
            </w:r>
          </w:p>
        </w:tc>
        <w:tc>
          <w:tcPr>
            <w:tcW w:w="146" w:type="dxa"/>
            <w:tcBorders/>
            <w:vAlign w:val="bottom"/>
          </w:tcPr>
          <w:p>
            <w:pPr>
              <w:pStyle w:val="TableContents"/>
              <w:bidi w:val="0"/>
              <w:spacing w:before="0" w:after="283"/>
              <w:jc w:val="left"/>
              <w:rPr/>
            </w:pPr>
            <w:r>
              <w:rPr/>
              <w:t> </w:t>
            </w:r>
          </w:p>
        </w:tc>
        <w:tc>
          <w:tcPr>
            <w:tcW w:w="139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Adjustments </w:t>
              <w:br/>
              <w:t xml:space="preserve">and </w:t>
              <w:br/>
              <w:t xml:space="preserve">Reclassifications </w:t>
              <w:br/>
              <w:t>(Note 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(IFRS)</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Pasqal </w:t>
              <w:br/>
              <w:t xml:space="preserve">Financing </w:t>
              <w:br/>
              <w:t xml:space="preserve">Transaction </w:t>
              <w:br/>
              <w:t xml:space="preserve">Adjustments </w:t>
              <w:br/>
              <w:t>(Note 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 xml:space="preserve">Combined </w:t>
              <w:br/>
              <w:t>(IFRS)</w:t>
            </w:r>
          </w:p>
        </w:tc>
      </w:tr>
      <w:tr>
        <w:trPr/>
        <w:tc>
          <w:tcPr>
            <w:tcW w:w="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Legacy Pasqal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715</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 premium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70,158</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69,688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249,933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(248,650)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95,161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8(k)</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14,827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(32,533)</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32,533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Other reserves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49,601</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(14,839)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28,747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Loss for the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(92,355)</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7,049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(114,053)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137,053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(28,747)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(23,000)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8(k)</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Bleichroeder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ordinary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(29,057)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6,597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18,282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9,445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(9,297)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(8,595)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5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(8,648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4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(9,469</w:t>
            </w:r>
          </w:p>
        </w:tc>
        <w:tc>
          <w:tcPr>
            <w:tcW w:w="27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(15,025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(42,168)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42,168</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(1,330</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shd w:fill="CCEEFF" w:val="clear"/>
            <w:vAlign w:val="bottom"/>
          </w:tcPr>
          <w:p>
            <w:pPr>
              <w:pStyle w:val="TableContents"/>
              <w:bidi w:val="0"/>
              <w:spacing w:before="0" w:after="283"/>
              <w:jc w:val="left"/>
              <w:rPr/>
            </w:pPr>
            <w:r>
              <w:rPr/>
              <w:t> </w:t>
            </w:r>
          </w:p>
        </w:tc>
      </w:tr>
      <w:tr>
        <w:trPr/>
        <w:tc>
          <w:tcPr>
            <w:tcW w:w="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0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(7,696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9"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thousands, except share and per share amounts)</w:t>
      </w:r>
    </w:p>
    <w:tbl>
      <w:tblPr>
        <w:tblW w:w="15498" w:type="dxa"/>
        <w:jc w:val="left"/>
        <w:tblInd w:w="0" w:type="dxa"/>
        <w:tblLayout w:type="fixed"/>
        <w:tblCellMar>
          <w:top w:w="0" w:type="dxa"/>
          <w:left w:w="0" w:type="dxa"/>
          <w:bottom w:w="0" w:type="dxa"/>
          <w:right w:w="0" w:type="dxa"/>
        </w:tblCellMar>
      </w:tblPr>
      <w:tblGrid>
        <w:gridCol w:w="911"/>
        <w:gridCol w:w="146"/>
        <w:gridCol w:w="871"/>
        <w:gridCol w:w="146"/>
        <w:gridCol w:w="1081"/>
        <w:gridCol w:w="146"/>
        <w:gridCol w:w="316"/>
        <w:gridCol w:w="146"/>
        <w:gridCol w:w="811"/>
        <w:gridCol w:w="146"/>
        <w:gridCol w:w="1396"/>
        <w:gridCol w:w="146"/>
        <w:gridCol w:w="316"/>
        <w:gridCol w:w="146"/>
        <w:gridCol w:w="1081"/>
        <w:gridCol w:w="146"/>
        <w:gridCol w:w="316"/>
        <w:gridCol w:w="146"/>
        <w:gridCol w:w="811"/>
        <w:gridCol w:w="146"/>
        <w:gridCol w:w="871"/>
        <w:gridCol w:w="146"/>
        <w:gridCol w:w="1081"/>
        <w:gridCol w:w="146"/>
        <w:gridCol w:w="146"/>
        <w:gridCol w:w="146"/>
        <w:gridCol w:w="811"/>
        <w:gridCol w:w="146"/>
        <w:gridCol w:w="1081"/>
        <w:gridCol w:w="146"/>
        <w:gridCol w:w="316"/>
        <w:gridCol w:w="146"/>
        <w:gridCol w:w="946"/>
      </w:tblGrid>
      <w:tr>
        <w:trPr/>
        <w:tc>
          <w:tcPr>
            <w:tcW w:w="91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167"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Bleichroeder</w:t>
            </w:r>
          </w:p>
        </w:tc>
        <w:tc>
          <w:tcPr>
            <w:tcW w:w="146" w:type="dxa"/>
            <w:tcBorders/>
            <w:vAlign w:val="bottom"/>
          </w:tcPr>
          <w:p>
            <w:pPr>
              <w:pStyle w:val="TableContents"/>
              <w:bidi w:val="0"/>
              <w:spacing w:before="0" w:after="283"/>
              <w:jc w:val="left"/>
              <w:rPr/>
            </w:pPr>
            <w:r>
              <w:rPr/>
              <w:t> </w:t>
            </w:r>
          </w:p>
        </w:tc>
        <w:tc>
          <w:tcPr>
            <w:tcW w:w="33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Legacy Pasqal</w:t>
            </w:r>
          </w:p>
        </w:tc>
        <w:tc>
          <w:tcPr>
            <w:tcW w:w="146" w:type="dxa"/>
            <w:tcBorders/>
            <w:vAlign w:val="bottom"/>
          </w:tcPr>
          <w:p>
            <w:pPr>
              <w:pStyle w:val="TableContents"/>
              <w:bidi w:val="0"/>
              <w:spacing w:before="0" w:after="283"/>
              <w:jc w:val="left"/>
              <w:rPr/>
            </w:pPr>
            <w:r>
              <w:rPr/>
              <w:t> </w:t>
            </w:r>
          </w:p>
        </w:tc>
        <w:tc>
          <w:tcPr>
            <w:tcW w:w="2635" w:type="dxa"/>
            <w:gridSpan w:val="5"/>
            <w:tcBorders/>
            <w:vAlign w:val="bottom"/>
          </w:tcPr>
          <w:p>
            <w:pPr>
              <w:pStyle w:val="TableContents"/>
              <w:bidi w:val="0"/>
              <w:spacing w:before="0" w:after="283"/>
              <w:jc w:val="left"/>
              <w:rPr/>
            </w:pPr>
            <w:r>
              <w:rPr/>
              <w:t> </w:t>
            </w:r>
          </w:p>
        </w:tc>
      </w:tr>
      <w:tr>
        <w:trPr/>
        <w:tc>
          <w:tcPr>
            <w:tcW w:w="9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 xml:space="preserve">(US </w:t>
              <w:br/>
              <w:t>GAAP)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IPO </w:t>
              <w:br/>
              <w:t xml:space="preserve">Adjustments </w:t>
              <w:br/>
              <w:t>(Note 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 xml:space="preserve">(US </w:t>
              <w:br/>
              <w:t>GAAP)</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Adjustments </w:t>
              <w:br/>
              <w:t xml:space="preserve">and </w:t>
              <w:br/>
              <w:t xml:space="preserve">Reclassifications </w:t>
              <w:br/>
              <w:t>(Note 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(IFRS)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Pasqal </w:t>
              <w:br/>
              <w:t xml:space="preserve">Financing </w:t>
              <w:br/>
              <w:t xml:space="preserve">Transaction </w:t>
              <w:br/>
              <w:t xml:space="preserve">Adjustments </w:t>
              <w:br/>
              <w:t>(Note 3)</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 xml:space="preserve">Combined </w:t>
              <w:br/>
              <w:t>(IFRS)</w:t>
            </w:r>
          </w:p>
        </w:tc>
      </w:tr>
      <w:tr>
        <w:trPr/>
        <w:tc>
          <w:tcPr>
            <w:tcW w:w="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New Pasqal</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 capital</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4,246</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 premium</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245,530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347,741</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(13,356)</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115,567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Accumulated deficit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(32,533)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(32,533)</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Other reserves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63,509</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Loss for the year</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(137,053)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8(h)</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(418,089)</w:t>
            </w:r>
          </w:p>
        </w:tc>
      </w:tr>
      <w:tr>
        <w:trPr/>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(115,567)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8(i)</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(165,469)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8(j)</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ind w:left="0" w:right="60" w:hanging="0"/>
              <w:jc w:val="left"/>
              <w:rPr>
                <w:sz w:val="4"/>
                <w:szCs w:val="4"/>
              </w:rPr>
            </w:pPr>
            <w:r>
              <w:rPr>
                <w:sz w:val="4"/>
                <w:szCs w:val="4"/>
              </w:rPr>
            </w:r>
          </w:p>
        </w:tc>
      </w:tr>
      <w:tr>
        <w:trPr/>
        <w:tc>
          <w:tcPr>
            <w:tcW w:w="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shareholders’ equity (deficit)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(8,615)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(8,647)</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(9,469)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5,006</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(13,110)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(4,415)</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172,150</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167,735</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(189,752)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(35,127)</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ordinary shares subject to possible redemption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241,872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244,744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(244,744)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5(a)</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(15,020)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17,892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Liabilities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Non-current liabilities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Borrowings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7,640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7,640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278,529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8(j)</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286,169</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Lease liabilities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9,627</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9,627</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9,627</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Employee benefit liabilities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11,051</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11,051</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11,051</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Deferred tax liabilities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366</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366</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366</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Deferred income from government grants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9,484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9,484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9,484</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Deferred underwriting fee</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8(f)</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 liabilities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9,469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5(b)</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15,025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24,494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99,760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8(j)</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124,254</w:t>
            </w:r>
          </w:p>
        </w:tc>
      </w:tr>
      <w:tr>
        <w:trPr/>
        <w:tc>
          <w:tcPr>
            <w:tcW w:w="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244,744</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5(a)</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(226,462)</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(18,282)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ind w:left="0" w:right="60" w:hanging="0"/>
              <w:jc w:val="left"/>
              <w:rPr>
                <w:sz w:val="4"/>
                <w:szCs w:val="4"/>
              </w:rPr>
            </w:pPr>
            <w:r>
              <w:rPr>
                <w:sz w:val="4"/>
                <w:szCs w:val="4"/>
              </w:rPr>
            </w:r>
          </w:p>
        </w:tc>
      </w:tr>
      <w:tr>
        <w:trPr/>
        <w:tc>
          <w:tcPr>
            <w:tcW w:w="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254,213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(221,865)</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24,494</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38,168</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38,168</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378,289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440,951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thousands, except share and per share amounts)</w:t>
      </w:r>
    </w:p>
    <w:tbl>
      <w:tblPr>
        <w:tblW w:w="16588" w:type="dxa"/>
        <w:jc w:val="left"/>
        <w:tblInd w:w="0" w:type="dxa"/>
        <w:tblLayout w:type="fixed"/>
        <w:tblCellMar>
          <w:top w:w="0" w:type="dxa"/>
          <w:left w:w="0" w:type="dxa"/>
          <w:bottom w:w="0" w:type="dxa"/>
          <w:right w:w="0" w:type="dxa"/>
        </w:tblCellMar>
      </w:tblPr>
      <w:tblGrid>
        <w:gridCol w:w="941"/>
        <w:gridCol w:w="146"/>
        <w:gridCol w:w="345"/>
        <w:gridCol w:w="526"/>
        <w:gridCol w:w="146"/>
        <w:gridCol w:w="286"/>
        <w:gridCol w:w="751"/>
        <w:gridCol w:w="206"/>
        <w:gridCol w:w="146"/>
        <w:gridCol w:w="316"/>
        <w:gridCol w:w="146"/>
        <w:gridCol w:w="286"/>
        <w:gridCol w:w="751"/>
        <w:gridCol w:w="146"/>
        <w:gridCol w:w="385"/>
        <w:gridCol w:w="1011"/>
        <w:gridCol w:w="146"/>
        <w:gridCol w:w="146"/>
        <w:gridCol w:w="146"/>
        <w:gridCol w:w="226"/>
        <w:gridCol w:w="811"/>
        <w:gridCol w:w="206"/>
        <w:gridCol w:w="146"/>
        <w:gridCol w:w="146"/>
        <w:gridCol w:w="146"/>
        <w:gridCol w:w="286"/>
        <w:gridCol w:w="661"/>
        <w:gridCol w:w="146"/>
        <w:gridCol w:w="286"/>
        <w:gridCol w:w="751"/>
        <w:gridCol w:w="146"/>
        <w:gridCol w:w="286"/>
        <w:gridCol w:w="811"/>
        <w:gridCol w:w="146"/>
        <w:gridCol w:w="316"/>
        <w:gridCol w:w="146"/>
        <w:gridCol w:w="286"/>
        <w:gridCol w:w="751"/>
        <w:gridCol w:w="146"/>
        <w:gridCol w:w="298"/>
        <w:gridCol w:w="783"/>
        <w:gridCol w:w="146"/>
        <w:gridCol w:w="316"/>
        <w:gridCol w:w="146"/>
        <w:gridCol w:w="286"/>
        <w:gridCol w:w="796"/>
      </w:tblGrid>
      <w:tr>
        <w:trPr/>
        <w:tc>
          <w:tcPr>
            <w:tcW w:w="94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513" w:type="dxa"/>
            <w:gridSpan w:val="2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Bleichroeder</w:t>
            </w:r>
          </w:p>
        </w:tc>
        <w:tc>
          <w:tcPr>
            <w:tcW w:w="146" w:type="dxa"/>
            <w:tcBorders/>
            <w:vAlign w:val="bottom"/>
          </w:tcPr>
          <w:p>
            <w:pPr>
              <w:pStyle w:val="TableContents"/>
              <w:bidi w:val="0"/>
              <w:spacing w:before="0" w:after="283"/>
              <w:jc w:val="left"/>
              <w:rPr/>
            </w:pPr>
            <w:r>
              <w:rPr/>
              <w:t> </w:t>
            </w:r>
          </w:p>
        </w:tc>
        <w:tc>
          <w:tcPr>
            <w:tcW w:w="3925"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Legacy Pasqal</w:t>
            </w:r>
          </w:p>
        </w:tc>
        <w:tc>
          <w:tcPr>
            <w:tcW w:w="146" w:type="dxa"/>
            <w:tcBorders/>
            <w:vAlign w:val="bottom"/>
          </w:tcPr>
          <w:p>
            <w:pPr>
              <w:pStyle w:val="TableContents"/>
              <w:bidi w:val="0"/>
              <w:spacing w:before="0" w:after="283"/>
              <w:jc w:val="left"/>
              <w:rPr/>
            </w:pPr>
            <w:r>
              <w:rPr/>
              <w:t> </w:t>
            </w:r>
          </w:p>
        </w:tc>
        <w:tc>
          <w:tcPr>
            <w:tcW w:w="2771" w:type="dxa"/>
            <w:gridSpan w:val="7"/>
            <w:tcBorders/>
            <w:vAlign w:val="bottom"/>
          </w:tcPr>
          <w:p>
            <w:pPr>
              <w:pStyle w:val="TableContents"/>
              <w:bidi w:val="0"/>
              <w:spacing w:before="0" w:after="283"/>
              <w:jc w:val="left"/>
              <w:rPr/>
            </w:pPr>
            <w:r>
              <w:rPr/>
              <w:t> </w:t>
            </w:r>
          </w:p>
        </w:tc>
      </w:tr>
      <w:tr>
        <w:trPr/>
        <w:tc>
          <w:tcPr>
            <w:tcW w:w="9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 xml:space="preserve">(US </w:t>
              <w:br/>
              <w:t>GAAP)</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IPO </w:t>
              <w:br/>
              <w:t xml:space="preserve">Adjustments </w:t>
              <w:br/>
              <w:t>(Note 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 xml:space="preserve">(US </w:t>
              <w:br/>
              <w:t>GAAP)</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Adjustments </w:t>
              <w:br/>
              <w:t xml:space="preserve">and </w:t>
              <w:br/>
              <w:t xml:space="preserve">Reclassifications </w:t>
              <w:br/>
              <w:t>(Note 5)</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Adjustments</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Historical </w:t>
              <w:br/>
              <w:t>(IFRS)</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Pasqal </w:t>
              <w:br/>
              <w:t xml:space="preserve">Financing </w:t>
              <w:br/>
              <w:t xml:space="preserve">Transaction </w:t>
              <w:br/>
              <w:t xml:space="preserve">Adjustments </w:t>
              <w:br/>
              <w:t>(Note 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 xml:space="preserve">Combined </w:t>
              <w:br/>
              <w:t>(IFRS)</w:t>
            </w:r>
          </w:p>
        </w:tc>
      </w:tr>
      <w:tr>
        <w:trPr/>
        <w:tc>
          <w:tcPr>
            <w:tcW w:w="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Current liabilities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Borrowings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105,164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(7,049)</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2,886</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2,886</w:t>
            </w:r>
          </w:p>
        </w:tc>
      </w:tr>
      <w:tr>
        <w:trPr/>
        <w:tc>
          <w:tcPr>
            <w:tcW w:w="9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(95,229)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r>
      <w:tr>
        <w:trPr/>
        <w:tc>
          <w:tcPr>
            <w:tcW w:w="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Lease liabilities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524</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524</w:t>
            </w:r>
          </w:p>
        </w:tc>
      </w:tr>
      <w:tr>
        <w:trPr/>
        <w:tc>
          <w:tcPr>
            <w:tcW w:w="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Provisions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w:t>
            </w:r>
          </w:p>
        </w:tc>
      </w:tr>
      <w:tr>
        <w:trPr/>
        <w:tc>
          <w:tcPr>
            <w:tcW w:w="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Trade and other payables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9,556</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9,763</w:t>
            </w:r>
          </w:p>
        </w:tc>
      </w:tr>
      <w:tr>
        <w:trPr/>
        <w:tc>
          <w:tcPr>
            <w:tcW w:w="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Contract liabilities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22,977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22,977</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22,977</w:t>
            </w:r>
          </w:p>
        </w:tc>
      </w:tr>
      <w:tr>
        <w:trPr/>
        <w:tc>
          <w:tcPr>
            <w:tcW w:w="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Deferred income from government grants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7,409</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7,409</w:t>
            </w:r>
          </w:p>
        </w:tc>
      </w:tr>
      <w:tr>
        <w:trPr/>
        <w:tc>
          <w:tcPr>
            <w:tcW w:w="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Other current liabilities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8,084</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8,084</w:t>
            </w:r>
          </w:p>
        </w:tc>
      </w:tr>
      <w:tr>
        <w:trPr/>
        <w:tc>
          <w:tcPr>
            <w:tcW w:w="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Accrued offering costs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Promissory note – related party</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current liabilities</w:t>
            </w:r>
          </w:p>
        </w:tc>
        <w:tc>
          <w:tcPr>
            <w:tcW w:w="146" w:type="dxa"/>
            <w:tcBorders/>
            <w:vAlign w:val="bottom"/>
          </w:tcPr>
          <w:p>
            <w:pPr>
              <w:pStyle w:val="TableContents"/>
              <w:bidi w:val="0"/>
              <w:spacing w:before="0" w:after="283"/>
              <w:jc w:val="left"/>
              <w:rPr/>
            </w:pPr>
            <w:r>
              <w:rPr/>
              <w:t> </w:t>
            </w:r>
          </w:p>
        </w:tc>
        <w:tc>
          <w:tcPr>
            <w:tcW w:w="3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154,070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(102,278)</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51,792</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51,999</w:t>
            </w:r>
          </w:p>
        </w:tc>
      </w:tr>
      <w:tr>
        <w:trPr/>
        <w:tc>
          <w:tcPr>
            <w:tcW w:w="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liabilities</w:t>
            </w:r>
          </w:p>
        </w:tc>
        <w:tc>
          <w:tcPr>
            <w:tcW w:w="146"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10,208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10,428</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254,213</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(221,865)</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192,238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(102,278)</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89,960</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378,496</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492,950</w:t>
            </w:r>
          </w:p>
        </w:tc>
      </w:tr>
      <w:tr>
        <w:trPr/>
        <w:tc>
          <w:tcPr>
            <w:tcW w:w="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shareholders’ equity (deficit) and liabilities</w:t>
            </w:r>
          </w:p>
        </w:tc>
        <w:tc>
          <w:tcPr>
            <w:tcW w:w="146" w:type="dxa"/>
            <w:tcBorders/>
            <w:vAlign w:val="bottom"/>
          </w:tcPr>
          <w:p>
            <w:pPr>
              <w:pStyle w:val="TableContents"/>
              <w:bidi w:val="0"/>
              <w:spacing w:before="0" w:after="283"/>
              <w:jc w:val="left"/>
              <w:rPr/>
            </w:pPr>
            <w:r>
              <w:rPr/>
              <w:t> </w:t>
            </w:r>
          </w:p>
        </w:tc>
        <w:tc>
          <w:tcPr>
            <w:tcW w:w="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246,337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246,525</w:t>
            </w:r>
          </w:p>
        </w:tc>
        <w:tc>
          <w:tcPr>
            <w:tcW w:w="146" w:type="dxa"/>
            <w:tcBorders/>
            <w:vAlign w:val="bottom"/>
          </w:tcPr>
          <w:p>
            <w:pPr>
              <w:pStyle w:val="TableContents"/>
              <w:bidi w:val="0"/>
              <w:spacing w:before="0" w:after="283"/>
              <w:jc w:val="left"/>
              <w:rPr/>
            </w:pPr>
            <w:r>
              <w:rPr/>
              <w:t> </w:t>
            </w:r>
          </w:p>
        </w:tc>
        <w:tc>
          <w:tcPr>
            <w:tcW w:w="3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caps/>
              </w:rPr>
            </w:pPr>
            <w:r>
              <w:rPr>
                <w:caps/>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sz w:val="14"/>
              </w:rPr>
            </w:pPr>
            <w:r>
              <w:rPr>
                <w:rFonts w:ascii="Times New Roman PS Std;serif" w:hAnsi="Times New Roman PS Std;serif"/>
                <w:b w:val="false"/>
                <w:i w:val="false"/>
                <w:caps/>
                <w:sz w:val="14"/>
              </w:rPr>
              <w:t>(216,859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sz w:val="14"/>
              </w:rPr>
            </w:pPr>
            <w:r>
              <w:rPr>
                <w:rFonts w:ascii="Times New Roman PS Std;serif" w:hAnsi="Times New Roman PS Std;serif"/>
                <w:b w:val="false"/>
                <w:i w:val="false"/>
                <w:caps/>
                <w:sz w:val="14"/>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11,384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187,824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69,872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257,696</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188,744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457,824</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 31, 2025</w:t>
        <w:br/>
      </w:r>
      <w:r>
        <w:rPr>
          <w:rFonts w:ascii="Times New Roman PS Std;serif" w:hAnsi="Times New Roman PS Std;serif"/>
          <w:b w:val="false"/>
          <w:i w:val="false"/>
          <w:caps w:val="false"/>
          <w:smallCaps w:val="false"/>
          <w:sz w:val="20"/>
        </w:rPr>
        <w:t>(In thousands, except share and per share amounts)</w:t>
      </w:r>
    </w:p>
    <w:tbl>
      <w:tblPr>
        <w:tblW w:w="19812" w:type="dxa"/>
        <w:jc w:val="left"/>
        <w:tblInd w:w="0" w:type="dxa"/>
        <w:tblLayout w:type="fixed"/>
        <w:tblCellMar>
          <w:top w:w="0" w:type="dxa"/>
          <w:left w:w="0" w:type="dxa"/>
          <w:bottom w:w="0" w:type="dxa"/>
          <w:right w:w="0" w:type="dxa"/>
        </w:tblCellMar>
      </w:tblPr>
      <w:tblGrid>
        <w:gridCol w:w="1751"/>
        <w:gridCol w:w="146"/>
        <w:gridCol w:w="286"/>
        <w:gridCol w:w="1126"/>
        <w:gridCol w:w="241"/>
        <w:gridCol w:w="146"/>
        <w:gridCol w:w="493"/>
        <w:gridCol w:w="830"/>
        <w:gridCol w:w="418"/>
        <w:gridCol w:w="146"/>
        <w:gridCol w:w="286"/>
        <w:gridCol w:w="361"/>
        <w:gridCol w:w="146"/>
        <w:gridCol w:w="295"/>
        <w:gridCol w:w="806"/>
        <w:gridCol w:w="250"/>
        <w:gridCol w:w="146"/>
        <w:gridCol w:w="286"/>
        <w:gridCol w:w="346"/>
        <w:gridCol w:w="146"/>
        <w:gridCol w:w="286"/>
        <w:gridCol w:w="781"/>
        <w:gridCol w:w="241"/>
        <w:gridCol w:w="146"/>
        <w:gridCol w:w="286"/>
        <w:gridCol w:w="1126"/>
        <w:gridCol w:w="241"/>
        <w:gridCol w:w="146"/>
        <w:gridCol w:w="286"/>
        <w:gridCol w:w="901"/>
        <w:gridCol w:w="241"/>
        <w:gridCol w:w="146"/>
        <w:gridCol w:w="286"/>
        <w:gridCol w:w="361"/>
        <w:gridCol w:w="146"/>
        <w:gridCol w:w="286"/>
        <w:gridCol w:w="901"/>
        <w:gridCol w:w="146"/>
        <w:gridCol w:w="286"/>
        <w:gridCol w:w="1065"/>
        <w:gridCol w:w="146"/>
        <w:gridCol w:w="361"/>
        <w:gridCol w:w="146"/>
        <w:gridCol w:w="286"/>
        <w:gridCol w:w="1366"/>
        <w:gridCol w:w="146"/>
        <w:gridCol w:w="406"/>
      </w:tblGrid>
      <w:tr>
        <w:trPr/>
        <w:tc>
          <w:tcPr>
            <w:tcW w:w="17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062" w:type="dxa"/>
            <w:gridSpan w:val="2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Bleichroeder</w:t>
            </w:r>
          </w:p>
        </w:tc>
        <w:tc>
          <w:tcPr>
            <w:tcW w:w="146" w:type="dxa"/>
            <w:tcBorders/>
            <w:vAlign w:val="bottom"/>
          </w:tcPr>
          <w:p>
            <w:pPr>
              <w:pStyle w:val="TableContents"/>
              <w:bidi w:val="0"/>
              <w:spacing w:before="0" w:after="283"/>
              <w:jc w:val="left"/>
              <w:rPr/>
            </w:pPr>
            <w:r>
              <w:rPr/>
              <w:t> </w:t>
            </w:r>
          </w:p>
        </w:tc>
        <w:tc>
          <w:tcPr>
            <w:tcW w:w="5353"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Legacy Pasqal</w:t>
            </w:r>
          </w:p>
        </w:tc>
        <w:tc>
          <w:tcPr>
            <w:tcW w:w="146"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(US </w:t>
              <w:br/>
              <w:t>GAAP)</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IFRS</w:t>
              <w:br/>
              <w:t>Adjustments</w:t>
              <w:br/>
              <w:t>and</w:t>
              <w:br/>
              <w:t xml:space="preserve">Reclassifications </w:t>
              <w:br/>
              <w:t>(Note 5)</w:t>
            </w:r>
          </w:p>
        </w:tc>
        <w:tc>
          <w:tcPr>
            <w:tcW w:w="146" w:type="dxa"/>
            <w:tcBorders/>
            <w:vAlign w:val="bottom"/>
          </w:tcPr>
          <w:p>
            <w:pPr>
              <w:pStyle w:val="TableContents"/>
              <w:bidi w:val="0"/>
              <w:spacing w:before="0" w:after="283"/>
              <w:jc w:val="left"/>
              <w:rPr/>
            </w:pPr>
            <w:r>
              <w:rPr/>
              <w:t> </w:t>
            </w:r>
          </w:p>
        </w:tc>
        <w:tc>
          <w:tcPr>
            <w:tcW w:w="64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Adjustments</w:t>
            </w:r>
          </w:p>
        </w:tc>
        <w:tc>
          <w:tcPr>
            <w:tcW w:w="146" w:type="dxa"/>
            <w:tcBorders/>
            <w:vAlign w:val="bottom"/>
          </w:tcPr>
          <w:p>
            <w:pPr>
              <w:pStyle w:val="TableContents"/>
              <w:bidi w:val="0"/>
              <w:spacing w:before="0" w:after="283"/>
              <w:jc w:val="left"/>
              <w:rPr/>
            </w:pPr>
            <w:r>
              <w:rPr/>
              <w:t> </w:t>
            </w:r>
          </w:p>
        </w:tc>
        <w:tc>
          <w:tcPr>
            <w:tcW w:w="6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(IFRS)</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Pasqal </w:t>
              <w:br/>
              <w:t xml:space="preserve">Financing </w:t>
              <w:br/>
              <w:t xml:space="preserve">Transaction </w:t>
              <w:br/>
              <w:t xml:space="preserve">Adjustments </w:t>
              <w:br/>
              <w:t>(Note 3)</w:t>
            </w:r>
          </w:p>
        </w:tc>
        <w:tc>
          <w:tcPr>
            <w:tcW w:w="146" w:type="dxa"/>
            <w:tcBorders/>
            <w:vAlign w:val="bottom"/>
          </w:tcPr>
          <w:p>
            <w:pPr>
              <w:pStyle w:val="TableContents"/>
              <w:bidi w:val="0"/>
              <w:spacing w:before="0" w:after="283"/>
              <w:jc w:val="left"/>
              <w:rPr/>
            </w:pPr>
            <w:r>
              <w:rPr/>
              <w:t> </w:t>
            </w:r>
          </w:p>
        </w:tc>
        <w:tc>
          <w:tcPr>
            <w:tcW w:w="64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w:t>
              <w:br/>
              <w:t xml:space="preserve">Adjusted </w:t>
              <w:br/>
              <w:t>(IFRS)</w:t>
            </w:r>
          </w:p>
        </w:tc>
        <w:tc>
          <w:tcPr>
            <w:tcW w:w="146"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 xml:space="preserve">Combined </w:t>
              <w:br/>
              <w:t>(IFRS)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16,468</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7,211</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1,907</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(5,057)</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(3,335)</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(1,330</w:t>
            </w:r>
          </w:p>
        </w:tc>
        <w:tc>
          <w:tcPr>
            <w:tcW w:w="2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(28,747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(67,418)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(68,748)</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(23,000)</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(42,641)</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(8,667)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(8,667)</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(115,567)</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(116,332)</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Formation and general and administrative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(1,330</w:t>
            </w:r>
          </w:p>
        </w:tc>
        <w:tc>
          <w:tcPr>
            <w:tcW w:w="2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(28,747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(79,243)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(138,567)</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(219,194)</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0"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financial instruments at FVTPL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(34,931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34,931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(27,640)</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(20,591)</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1,574</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(3,871)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(3,871)</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(165,469)</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(170,008)</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Loss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(1,330</w:t>
            </w:r>
          </w:p>
        </w:tc>
        <w:tc>
          <w:tcPr>
            <w:tcW w:w="2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(92,263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(331,676)</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(412,090)</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(expense)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(1,330</w:t>
            </w:r>
          </w:p>
        </w:tc>
        <w:tc>
          <w:tcPr>
            <w:tcW w:w="2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(79,123)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(331,676)</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(412,183)</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Weighted average ordinary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8,333,333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6,929,134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212,293,691</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9(f)</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per ordinary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0"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(1.94)</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9(f)</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Bleichroeder, Merger Sub and Legacy Pasqal entered into the Business Combination Agreement, pursuant to which, among other things: (i) in connection with the Reincorporation Merger, Bleichroeder merged with and into Merger Sub, with Merger Sub being the surviving entity as the “Bleichroeder Surviving Corporation”; (ii) as promptly as practicable after the Reincorporation Merger Effective Time and in accordance with applicable French laws, Legacy Pasqal merged with and into Bleichroeder Surviving Corporation, with Bleichroeder Surviving Corporation continuing as the surviving entity. The Business Combination closed on August 27,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Agreement, on February 28, 2026, Pasqal SAS effected the Pasqal Reorganization, resulting in Legacy Pasqal owning 100% of the share capital of Pasqal SAS and its subsidiaries. The following was effected in connection with the Pasqal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Pasqal Reorganization, all outstanding options to purchase ordinary shares of Pasqal SAS were converted to options to purchase ordinary shares of Legacy Pasqal (“</w:t>
      </w:r>
      <w:r>
        <w:rPr>
          <w:rFonts w:ascii="Times New Roman PS Std;serif" w:hAnsi="Times New Roman PS Std;serif"/>
          <w:b/>
          <w:i w:val="false"/>
          <w:caps w:val="false"/>
          <w:smallCaps w:val="false"/>
          <w:sz w:val="20"/>
        </w:rPr>
        <w:t>Legacy Pasqal Options</w:t>
      </w:r>
      <w:r>
        <w:rPr>
          <w:rFonts w:ascii="Times New Roman PS Std;serif" w:hAnsi="Times New Roman PS Std;serif"/>
          <w:b w:val="false"/>
          <w:i w:val="false"/>
          <w:caps w:val="false"/>
          <w:smallCaps w:val="false"/>
          <w:sz w:val="20"/>
        </w:rPr>
        <w:t>”), pursuant to an assignment, assumption and amendment agreement entered into with the respective holders on February 28,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Pasqal Reorganization on February 28, 2026, the outstanding Series A ordinary shares, Series B ordinary shares, Series C ordinary shares, Series Seed ordinary shares and ordinary shares of Pasqal SAS were converted on a one-for-one basis into Class A ordinary shares, Class B ordinary shares, Class C ordinary shares, Class Seed ordinary shares and ordinary shares of Legacy Pasqal (collectively, the “</w:t>
      </w:r>
      <w:r>
        <w:rPr>
          <w:rFonts w:ascii="Times New Roman PS Std;serif" w:hAnsi="Times New Roman PS Std;serif"/>
          <w:b/>
          <w:i w:val="false"/>
          <w:caps w:val="false"/>
          <w:smallCaps w:val="false"/>
          <w:sz w:val="20"/>
        </w:rPr>
        <w:t>Legacy Pasqal Ordinary Shares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Pasqal Reorganization, the outstanding BSPCEs of Pasqal SAS, which are equity warrants governed by French law, to the extent unexercised, were converted into BSPCEs of Legacy Pasqal (“</w:t>
      </w:r>
      <w:r>
        <w:rPr>
          <w:rFonts w:ascii="Times New Roman PS Std;serif" w:hAnsi="Times New Roman PS Std;serif"/>
          <w:b/>
          <w:i w:val="false"/>
          <w:caps w:val="false"/>
          <w:smallCaps w:val="false"/>
          <w:sz w:val="20"/>
        </w:rPr>
        <w:t>Legacy Pasqal BSPCEs</w:t>
      </w:r>
      <w:r>
        <w:rPr>
          <w:rFonts w:ascii="Times New Roman PS Std;serif" w:hAnsi="Times New Roman PS Std;serif"/>
          <w:b w:val="false"/>
          <w:i w:val="false"/>
          <w:caps w:val="false"/>
          <w:smallCaps w:val="false"/>
          <w:sz w:val="20"/>
        </w:rPr>
        <w:t>”). See Note 3 for additional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existing SAR agreements were amended by way of an addendum such that the shares underlying the SARs became Legacy Pasqal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otherwise requires, references to “Legacy Pasqal” in these unaudited pro forma condensed combined financial statements represent Pasqal SAS and its subsidiaries as reorganized pursuant to the Pasqal Reorganization and reflect the post-reorganization structure as if it had been in place for the periods presented. The Pasqal Reorganization did not materially affect the underlying financial position or results of operations and resulted primarily in Legacy Pasqal becoming the parent entity of Pasqal SAS and its subsidiaries. Accordingly, no pro forma adjustments related to the Pasqal Reorganization are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Reincorporation Merger, the following was effected: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date that the Reincorporation Plan of Merger was registered by the Cayman Registrar in accordance with the Cayman Companies Act, or such later time as specified in or otherwise in accordance with the Reincorporation Plan of Merger and the Cayman Companies Act (the “</w:t>
      </w:r>
      <w:r>
        <w:rPr>
          <w:rFonts w:ascii="Times New Roman PS Std;serif" w:hAnsi="Times New Roman PS Std;serif"/>
          <w:b/>
          <w:i w:val="false"/>
          <w:caps w:val="false"/>
          <w:smallCaps w:val="false"/>
          <w:sz w:val="20"/>
        </w:rPr>
        <w:t>Reincorporation Merger Effective Time</w:t>
      </w:r>
      <w:r>
        <w:rPr>
          <w:rFonts w:ascii="Times New Roman PS Std;serif" w:hAnsi="Times New Roman PS Std;serif"/>
          <w:b w:val="false"/>
          <w:i w:val="false"/>
          <w:caps w:val="false"/>
          <w:smallCaps w:val="false"/>
          <w:sz w:val="20"/>
        </w:rPr>
        <w:t>”), (i) each Bleichroeder unit issued and outstanding as of such time (see Note 2) automatically detached and the holder thereof was deemed to hold one Class A ordinary share of Bleichroeder (“</w:t>
      </w:r>
      <w:r>
        <w:rPr>
          <w:rFonts w:ascii="Times New Roman PS Std;serif" w:hAnsi="Times New Roman PS Std;serif"/>
          <w:b/>
          <w:i w:val="false"/>
          <w:caps w:val="false"/>
          <w:smallCaps w:val="false"/>
          <w:sz w:val="20"/>
        </w:rPr>
        <w:t>Bleichroeder Class A Ordinary Share</w:t>
      </w:r>
      <w:r>
        <w:rPr>
          <w:rFonts w:ascii="Times New Roman PS Std;serif" w:hAnsi="Times New Roman PS Std;serif"/>
          <w:b w:val="false"/>
          <w:i w:val="false"/>
          <w:caps w:val="false"/>
          <w:smallCaps w:val="false"/>
          <w:sz w:val="20"/>
        </w:rPr>
        <w:t>”) and one third of one Bleichroeder Warrant, and ceased separate existence and trading (the “</w:t>
      </w:r>
      <w:r>
        <w:rPr>
          <w:rFonts w:ascii="Times New Roman PS Std;serif" w:hAnsi="Times New Roman PS Std;serif"/>
          <w:b/>
          <w:i w:val="false"/>
          <w:caps w:val="false"/>
          <w:smallCaps w:val="false"/>
          <w:sz w:val="20"/>
        </w:rPr>
        <w:t>Unit Separation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Reincorporation Merger Effective Time and immediately following the Unit Separation, each issued and outstanding (i) Bleichroeder Class A Ordinary Share, including each Bleichroeder Class A Ordinary Share held as a result of the Unit Separation, and excluding (x) any shares in respect of which dissenters’ rights have been validly exercised, (y) any shares held directly or indirectly in the treasury of Bleichroeder or any Bleichroeder Class A Ordinary Share held by any direct or indirect wholly owned subsidiary of Bleichroeder (the “</w:t>
      </w:r>
      <w:r>
        <w:rPr>
          <w:rFonts w:ascii="Times New Roman PS Std;serif" w:hAnsi="Times New Roman PS Std;serif"/>
          <w:b/>
          <w:i w:val="false"/>
          <w:caps w:val="false"/>
          <w:smallCaps w:val="false"/>
          <w:sz w:val="20"/>
        </w:rPr>
        <w:t>Treasury Shares</w:t>
      </w:r>
      <w:r>
        <w:rPr>
          <w:rFonts w:ascii="Times New Roman PS Std;serif" w:hAnsi="Times New Roman PS Std;serif"/>
          <w:b w:val="false"/>
          <w:i w:val="false"/>
          <w:caps w:val="false"/>
          <w:smallCaps w:val="false"/>
          <w:sz w:val="20"/>
        </w:rPr>
        <w:t>”), and any (z) Bleichroeder Class A Ordinary Share held by a holder who has validly exercised its redemption rights (“</w:t>
      </w:r>
      <w:r>
        <w:rPr>
          <w:rFonts w:ascii="Times New Roman PS Std;serif" w:hAnsi="Times New Roman PS Std;serif"/>
          <w:b/>
          <w:i w:val="false"/>
          <w:caps w:val="false"/>
          <w:smallCaps w:val="false"/>
          <w:sz w:val="20"/>
        </w:rPr>
        <w:t>Redeeming Shares</w:t>
      </w:r>
      <w:r>
        <w:rPr>
          <w:rFonts w:ascii="Times New Roman PS Std;serif" w:hAnsi="Times New Roman PS Std;serif"/>
          <w:b w:val="false"/>
          <w:i w:val="false"/>
          <w:caps w:val="false"/>
          <w:smallCaps w:val="false"/>
          <w:sz w:val="20"/>
        </w:rPr>
        <w:t>” or “Bleichroeder public shares”), and (ii) each Bleichroeder Class B Ordinary Share (collectively “</w:t>
      </w:r>
      <w:r>
        <w:rPr>
          <w:rFonts w:ascii="Times New Roman PS Std;serif" w:hAnsi="Times New Roman PS Std;serif"/>
          <w:b/>
          <w:i w:val="false"/>
          <w:caps w:val="false"/>
          <w:smallCaps w:val="false"/>
          <w:sz w:val="20"/>
        </w:rPr>
        <w:t>Bleichroeder Ordinary Shares</w:t>
      </w:r>
      <w:r>
        <w:rPr>
          <w:rFonts w:ascii="Times New Roman PS Std;serif" w:hAnsi="Times New Roman PS Std;serif"/>
          <w:b w:val="false"/>
          <w:i w:val="false"/>
          <w:caps w:val="false"/>
          <w:smallCaps w:val="false"/>
          <w:sz w:val="20"/>
        </w:rPr>
        <w:t>”) were cancelled and automatically converted into one ordinary share of Bleichroeder Surviving Corporation (“</w:t>
      </w:r>
      <w:r>
        <w:rPr>
          <w:rFonts w:ascii="Times New Roman PS Std;serif" w:hAnsi="Times New Roman PS Std;serif"/>
          <w:b/>
          <w:i w:val="false"/>
          <w:caps w:val="false"/>
          <w:smallCaps w:val="false"/>
          <w:sz w:val="20"/>
        </w:rPr>
        <w:t>Bleichroeder Surviving Corporation Ordinary Share</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Reincorporation Merger Effective Time and immediately following the Unit Separation, each issued and outstanding Bleichroeder Warrant (as defined in Note 2), including those held as a result of the Unit Separation, ceased separate existence and trading and was converted into a warrant to purchase one Bleichroeder Surviving Corporation Ordinary Share (“</w:t>
      </w:r>
      <w:r>
        <w:rPr>
          <w:rFonts w:ascii="Times New Roman PS Std;serif" w:hAnsi="Times New Roman PS Std;serif"/>
          <w:b/>
          <w:i w:val="false"/>
          <w:caps w:val="false"/>
          <w:smallCaps w:val="false"/>
          <w:sz w:val="20"/>
        </w:rPr>
        <w:t>Bleichroeder New Pasqal Warrant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Reincorporation Merger Effective Time and immediately following the Unit Separation, each Bleichroeder Ordinary Share subject to possible redemption issued and outstanding of which the holder thereof had exercised their redemption right to a pro-rata share of the funds in the trust account of Bleichroeder (the “</w:t>
      </w:r>
      <w:r>
        <w:rPr>
          <w:rFonts w:ascii="Times New Roman PS Std;serif" w:hAnsi="Times New Roman PS Std;serif"/>
          <w:b/>
          <w:i w:val="false"/>
          <w:caps w:val="false"/>
          <w:smallCaps w:val="false"/>
          <w:sz w:val="20"/>
        </w:rPr>
        <w:t>Trust Account</w:t>
      </w:r>
      <w:r>
        <w:rPr>
          <w:rFonts w:ascii="Times New Roman PS Std;serif" w:hAnsi="Times New Roman PS Std;serif"/>
          <w:b w:val="false"/>
          <w:i w:val="false"/>
          <w:caps w:val="false"/>
          <w:smallCaps w:val="false"/>
          <w:sz w:val="20"/>
        </w:rPr>
        <w:t>”), automatically cancelled and ceased to exist and represented only the right to be paid a pro rata share of the Trust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Reincorporation Merger Effective Time and immediately following the Unit Separation, each Treasury Share was canceled and extinguished without any conversion thereof or payment therefor.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Reincorporation Merger Effective Time and immediately following the Unit Separation, each issued and outstanding ordinary share, par value €10 per share, of Merger Sub was cancelled and no consideration shall be delivered.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of the Merger (the “</w:t>
      </w:r>
      <w:r>
        <w:rPr>
          <w:rFonts w:ascii="Times New Roman PS Std;serif" w:hAnsi="Times New Roman PS Std;serif"/>
          <w:b/>
          <w:i w:val="false"/>
          <w:caps w:val="false"/>
          <w:smallCaps w:val="false"/>
          <w:sz w:val="20"/>
        </w:rPr>
        <w:t>Merger Effective Time</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issued and outstanding (i) “Class Seed” Pasqal Ordinary Share, par value €0.10 per share, of Legacy Pasqal, (ii) common ordinary share, par value €0.10 per share, of Legacy Pasqal, (iii) “Class A” ordinary share, €0.10 per share, of Legacy Pasqal, (iv) “Class B” ordinary share, €0.10 per share, of Legacy Pasqal, and (v) “Class C” ordinary share, €0.10 per share, of Legacy Pasqal, was exchanged for shares of New Pasqal, based on using the Exchange Ratio.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issued and outstanding equity warrant governed by French law (bons </w:t>
      </w:r>
      <w:r>
        <w:rPr>
          <w:rFonts w:ascii="Times New Roman PS Std;serif" w:hAnsi="Times New Roman PS Std;serif"/>
          <w:b w:val="false"/>
          <w:i/>
          <w:caps w:val="false"/>
          <w:smallCaps w:val="false"/>
          <w:sz w:val="20"/>
        </w:rPr>
        <w:t>de souscription de parts de créateur d’entreprise</w:t>
      </w:r>
      <w:r>
        <w:rPr>
          <w:rFonts w:ascii="Times New Roman PS Std;serif" w:hAnsi="Times New Roman PS Std;serif"/>
          <w:b w:val="false"/>
          <w:i w:val="false"/>
          <w:caps w:val="false"/>
          <w:smallCaps w:val="false"/>
          <w:sz w:val="20"/>
        </w:rPr>
        <w:t>) of Legacy Pasqal (“</w:t>
      </w:r>
      <w:r>
        <w:rPr>
          <w:rFonts w:ascii="Times New Roman PS Std;serif" w:hAnsi="Times New Roman PS Std;serif"/>
          <w:b/>
          <w:i w:val="false"/>
          <w:caps w:val="false"/>
          <w:smallCaps w:val="false"/>
          <w:sz w:val="20"/>
        </w:rPr>
        <w:t>Pasqal BSPCE</w:t>
      </w:r>
      <w:r>
        <w:rPr>
          <w:rFonts w:ascii="Times New Roman PS Std;serif" w:hAnsi="Times New Roman PS Std;serif"/>
          <w:b w:val="false"/>
          <w:i w:val="false"/>
          <w:caps w:val="false"/>
          <w:smallCaps w:val="false"/>
          <w:sz w:val="20"/>
        </w:rPr>
        <w:t>”) was assumed by New Pasqal and granted the right to subscribe for New Pasqal Ordinary Shares, with the number of shares adjusted, as applicable to reflect the Exchange Ratio, on the same terms and conditions as were applicable to the Company BSPCE as of immediately prior to the Merger Effective Time (including vesting, exercise period and expiration date), except as otherwise provided by the French Merger Agreement or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the separate corporate existence of Legacy Pasqal ceased and Bleichroeder Surviving Corporation continued as New Pasqal. The Bleichroeder Surviving Corporation Ordinary Shares and the Bleichroeder New Pasqal Warrants outstanding at the Merger Effective Time remained outstanding as “New Pasqal Ordinary Shares” and “New Pasqal Warrants”. After the Closing, the par value of the New Pasqal Ordinary Shares was to €0.02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events that impact the unaudited pro forma condensed combined financial information are discussed in further detail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March 2026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Bleichroeder and Merger Sub entered into a securities purchase agreement, dated as of March 4, 2026 and as amended on May 23, 2026, with certain investors pursuant to which such investors have agreed, among other things subject to certain conditions, to subscribe for $312.5 million aggregate principal amount of the Senior Unsecured Convertible Bonds and receive warrants to subscribe up to a number of New Pasqal Ordinary Shares equal to 125% of the total number of New Pasqal Ordinary Shares into which the Senior Unsecured Convertible Bonds are convertible. The Senior Unsecured Convertible Bonds were issued at the Closing at an initial exercise price of $12.00 per New Pasqal Ordinary Share, for an aggregate purchase price of $250.0 million, reflecting a 20% original issue discount in a private placement. The Senior Unsecured Convertible Bonds bear interest at a rate of either 10% per annum payable in cash semi-annually or 12% per annum in Payment-in-Kind (“</w:t>
      </w:r>
      <w:r>
        <w:rPr>
          <w:rFonts w:ascii="Times New Roman PS Std;serif" w:hAnsi="Times New Roman PS Std;serif"/>
          <w:b/>
          <w:i w:val="false"/>
          <w:caps w:val="false"/>
          <w:smallCaps w:val="false"/>
          <w:sz w:val="20"/>
        </w:rPr>
        <w:t>PIK</w:t>
      </w:r>
      <w:r>
        <w:rPr>
          <w:rFonts w:ascii="Times New Roman PS Std;serif" w:hAnsi="Times New Roman PS Std;serif"/>
          <w:b w:val="false"/>
          <w:i w:val="false"/>
          <w:caps w:val="false"/>
          <w:smallCaps w:val="false"/>
          <w:sz w:val="20"/>
        </w:rPr>
        <w:t>”) and are convertible, at the option of the holder, into New Pasqal Ordinary Shares at a price of $12.00 per share. Based on the initial conversion price, the Senior Unsecured Convertible Bonds are initially convertible into an aggregate of 26,041,667 New Pasqal Ordinary Shares. Following the fifth anniversary of the Closing, the Senior Unsecured Convertible Bonds are redeemable at the option of the holder and may be settled in cash or New Pasqal Ordinary Shares at the election of New Pasqal, pursuant to the terms of the subscription agreements. The Investment Warrants became immediately exercisable for an aggregate of 32,552,083 New Pasqal Ordinary Shares upon issuance and expire five years from the date of the Business Combination. The closing of the March 2026 Financing occurred substantially concurrent with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Unsecured Convertible Bonds and the Investment Warrants are accounted for in accordance with IAS 32 and IFRS 9. The Senior Unsecured Convertible Bonds require settlement through the delivery of a variable number of the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(“FVTPL”),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values of the Senior Unsecured Convertible Bonds and the Investment Warrants are estimated using a Monte Carlo simulation model. The significant assumptions utilized in estimating the fair value of the Senior Unsecured Convertible Bonds and the Investment Warrants include the following: (i) New Pasqal Ordinary Share price of $10.00 or €8.51 per share, using an exchange rate of 1.1747 USD per EUR on December 31, 2025; (ii) risk-free rate of 3%; (iii) equity volatility of 40%; (iv) term of 5 years; (v) credit spread of 15.51%; and (vi) implied probability of default of 15.83%. The valuation also assumes cash coupon payments at a rate of 10%, reflecting management’s assessment of the most likely settlement scenario. Based on these assumptions, the Senior Unsecured Convertible Bonds are estimated at approximately 104.7% of par value. The associated Investment Warrants are valued based on a unit price of approximately $3.60 or €3.06 per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Sponsor-Granted Membership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2025,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granted membership interests which equate to an aggregate of 300,000 Bleichroeder Class B Ordinary Shares (“</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to the Chief Operating Officer of Bleichroeder, 200,000 Founder Shares to the Chief Financial Officer of Bleichroeder and 30,000 Founder Shares to two independent directors of Bleichroeder. The membership interests constitute share-based payment arrangements within the scope of IFRS 2 — </w:t>
      </w:r>
      <w:r>
        <w:rPr>
          <w:rFonts w:ascii="Times New Roman PS Std;serif" w:hAnsi="Times New Roman PS Std;serif"/>
          <w:b w:val="false"/>
          <w:i/>
          <w:caps w:val="false"/>
          <w:smallCaps w:val="false"/>
          <w:sz w:val="20"/>
        </w:rPr>
        <w:t>Share-based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Payment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2</w:t>
      </w:r>
      <w:r>
        <w:rPr>
          <w:rFonts w:ascii="Times New Roman PS Std;serif" w:hAnsi="Times New Roman PS Std;serif"/>
          <w:b w:val="false"/>
          <w:i w:val="false"/>
          <w:caps w:val="false"/>
          <w:smallCaps w:val="false"/>
          <w:sz w:val="20"/>
        </w:rPr>
        <w:t>”), as they were granted in exchange for services to be rendered by the recipients. The membership interests are subject to a performance condition to provide services during the period from issuance through the completion of a business combination. The total fair value of the membership interests was determined to be $1.6 million or €1.3 million upon issuance. As of December 31, 2025, no compensation expense was recognized in the historical financial statements of Bleichroeder.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Bleichroeder Initial Public Offering and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Bleichroeder consummated its initial public offering of 28,750,000 units (the “</w:t>
      </w:r>
      <w:r>
        <w:rPr>
          <w:rFonts w:ascii="Times New Roman PS Std;serif" w:hAnsi="Times New Roman PS Std;serif"/>
          <w:b/>
          <w:i w:val="false"/>
          <w:caps w:val="false"/>
          <w:smallCaps w:val="false"/>
          <w:sz w:val="20"/>
        </w:rPr>
        <w:t>Public Units</w:t>
      </w:r>
      <w:r>
        <w:rPr>
          <w:rFonts w:ascii="Times New Roman PS Std;serif" w:hAnsi="Times New Roman PS Std;serif"/>
          <w:b w:val="false"/>
          <w:i w:val="false"/>
          <w:caps w:val="false"/>
          <w:smallCaps w:val="false"/>
          <w:sz w:val="20"/>
        </w:rPr>
        <w:t>”), which included the full exercise by the underwriters of their over-allotment option of 3,750,000 Public Units, at an offering price of $10.00 per Public Unit (the “</w:t>
      </w:r>
      <w:r>
        <w:rPr>
          <w:rFonts w:ascii="Times New Roman PS Std;serif" w:hAnsi="Times New Roman PS Std;serif"/>
          <w:b/>
          <w:i w:val="false"/>
          <w:caps w:val="false"/>
          <w:smallCaps w:val="false"/>
          <w:sz w:val="20"/>
        </w:rPr>
        <w:t>Bleichroeder IPO</w:t>
      </w:r>
      <w:r>
        <w:rPr>
          <w:rFonts w:ascii="Times New Roman PS Std;serif" w:hAnsi="Times New Roman PS Std;serif"/>
          <w:b w:val="false"/>
          <w:i w:val="false"/>
          <w:caps w:val="false"/>
          <w:smallCaps w:val="false"/>
          <w:sz w:val="20"/>
        </w:rPr>
        <w:t>”). Each Public Unit consists of one Bleichroeder Class A ordinary share and one-third of one redeemable warrant (“</w:t>
      </w:r>
      <w:r>
        <w:rPr>
          <w:rFonts w:ascii="Times New Roman PS Std;serif" w:hAnsi="Times New Roman PS Std;serif"/>
          <w:b/>
          <w:i w:val="false"/>
          <w:caps w:val="false"/>
          <w:smallCaps w:val="false"/>
          <w:sz w:val="20"/>
        </w:rPr>
        <w:t>Public Warrant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Bleichroeder IPO, Bleichroeder consummated the sale of an aggregate of 7,750,000 private placement warrants (the “</w:t>
      </w:r>
      <w:r>
        <w:rPr>
          <w:rFonts w:ascii="Times New Roman PS Std;serif" w:hAnsi="Times New Roman PS Std;serif"/>
          <w:b/>
          <w:i w:val="false"/>
          <w:caps w:val="false"/>
          <w:smallCaps w:val="false"/>
          <w:sz w:val="20"/>
        </w:rPr>
        <w:t>Private Warrants</w:t>
      </w:r>
      <w:r>
        <w:rPr>
          <w:rFonts w:ascii="Times New Roman PS Std;serif" w:hAnsi="Times New Roman PS Std;serif"/>
          <w:b w:val="false"/>
          <w:i w:val="false"/>
          <w:caps w:val="false"/>
          <w:smallCaps w:val="false"/>
          <w:sz w:val="20"/>
        </w:rPr>
        <w:t>,” and collectively with the Public Warrants, the “</w:t>
      </w:r>
      <w:r>
        <w:rPr>
          <w:rFonts w:ascii="Times New Roman PS Std;serif" w:hAnsi="Times New Roman PS Std;serif"/>
          <w:b/>
          <w:i w:val="false"/>
          <w:caps w:val="false"/>
          <w:smallCaps w:val="false"/>
          <w:sz w:val="20"/>
        </w:rPr>
        <w:t>Bleichroeder Warrants</w:t>
      </w:r>
      <w:r>
        <w:rPr>
          <w:rFonts w:ascii="Times New Roman PS Std;serif" w:hAnsi="Times New Roman PS Std;serif"/>
          <w:b w:val="false"/>
          <w:i w:val="false"/>
          <w:caps w:val="false"/>
          <w:smallCaps w:val="false"/>
          <w:sz w:val="20"/>
        </w:rPr>
        <w:t>”) at a price of $1.00 per Private Warrant or €0.85, using an exchange rate of 1.1747 USD per EUR on December 31, 2025, for pro forma balance sheet purposes, for gross proceeds of $7.8 million or €6.6 million (the “</w:t>
      </w:r>
      <w:r>
        <w:rPr>
          <w:rFonts w:ascii="Times New Roman PS Std;serif" w:hAnsi="Times New Roman PS Std;serif"/>
          <w:b/>
          <w:i w:val="false"/>
          <w:caps w:val="false"/>
          <w:smallCaps w:val="false"/>
          <w:sz w:val="20"/>
        </w:rPr>
        <w:t>Bleichroeder Private Placement</w:t>
      </w:r>
      <w:r>
        <w:rPr>
          <w:rFonts w:ascii="Times New Roman PS Std;serif" w:hAnsi="Times New Roman PS Std;serif"/>
          <w:b w:val="false"/>
          <w:i w:val="false"/>
          <w:caps w:val="false"/>
          <w:smallCaps w:val="false"/>
          <w:sz w:val="20"/>
        </w:rPr>
        <w:t>”). Of the 7,750,000 Private Warrants sold in the Bleichroeder Private Placement, 5,000,000 Private Warrants were purchased by the Sponsor and 2,750,000 Private Warrants were purchased by Bleichroeder’s underwriters.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financial information related to the Bleichroeder IPO and Bleichroeder Private Placement described above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reflect the initial public offering of 28,750,000 Public Units at an offering price of $10.00 per unit on January 9, 2026, for aggregate gross proceeds of $287.5 million or €244.7 million, which was recognized in cash held in Trust Account. Proceeds of $3.4 million or €2.9 million were allocated to the Public Warrants based on their fair value, which was recorded in additional paid-in capital. The remaining proceeds of $284.1 million or €241.8 million were recognized within mezzanine equity as Bleichroeder Class A ordinary shares subject to possible redemption.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reflect the sale of 7,750,000 Private Warrants at an offering price of $1.00 or €0.85 per unit, for aggregate gross proceeds of $7.8 million or €6.6 million, which was recognized as an increase in cash held in Trust Account and additional paid-in capital.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reflect the transaction costs incurred in connection with the Bleichroeder IPO of $17.9 million or €15.2 million, which were recognized as (i) a reduction in Bleichroeder Class A ordinary shares subject to possible redemption of $17.6 million or €15.0 million representing transaction costs attributable to the issuance of Bleichroeder Class A ordinary shares, and (ii) a reduction to additional paid-in capital of $0.2 million or €0.2 million, representing transaction costs attributable to the issuance of the Public Warrants. Of the total transaction costs, (i) $12.3 million or €10.4 million were deferred and recognized as deferred underwriting fee liability, (ii) $5.1 million or €4.3 million are settled from the Bleichroeder Private Placement proceeds and recognized as a reduction of the cash held in the Trust account, (iii) $0.3 million or €0.3 million is paid from cash and cash equivalent, (iv) $0.2 million or €0.2 million is derecognized from deferred offering costs and (v) $11 thousand or €9 thousand is derecognized from accrued offering costs.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reflect the release of excess funds of $2.7 million or €2.3 million from cash held in Trust Account to cash and cash equivalents, representing the remaining proceeds from the Bleichroeder Private Placement after the $5.1 million or €4.3 million cash settlement of transaction costs described in Note 2(c)(ii).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reflect the remeasurement of the carrying value of Bleichroeder Class A ordinary shares subject to possible redemption to their redemption value as an increase in Bleichroeder Class A ordinary shares subject to possible redemption of $21.0 million or €17.9 million, a reduction of the balance of in additional paid-in capital of $10.9 million or €9.3 million to zero, and an increase in accumulated deficit of $10.1 million or €8.6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reflect the payment of an unsecured promissory note from the Sponsor of $0.2 million or €0.2 million upon completion of the Bleichroeder IPO as a decrease in cash and cash equivalents and promissory note — related party.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Pasqal Financing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C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January and February 2026, Legacy Pasqal completed the closing of the Series C Financing, pursuant to which Legacy Pasqal issued 499,769 Legacy Pasqal Series C Shares to certain existing and new investors at a price of €139.54 per share, for aggregate gross proceeds of approximately €69.7 million. The Legacy Pasqal Series C Shares issued in the Series C Financing have the following Ratchet warrants attached (collectively referred to as the “</w:t>
      </w:r>
      <w:r>
        <w:rPr>
          <w:rFonts w:ascii="Times New Roman PS Std;serif" w:hAnsi="Times New Roman PS Std;serif"/>
          <w:b/>
          <w:i w:val="false"/>
          <w:caps w:val="false"/>
          <w:smallCaps w:val="false"/>
          <w:sz w:val="20"/>
        </w:rPr>
        <w:t>BSA Ratchets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attached to all Legacy Pasqal Series C Shares and entitle the holder to subscribe, at a nominal value, for additional Legacy Pasqal Series C Shares in the event that Legacy Pasqal issues new shares or other securities that give access to a portion of its share capital based on a per-share price lower than the per-share price in the Series C Financing of €139.54 (a “</w:t>
      </w:r>
      <w:r>
        <w:rPr>
          <w:rFonts w:ascii="Times New Roman PS Std;serif" w:hAnsi="Times New Roman PS Std;serif"/>
          <w:b/>
          <w:i w:val="false"/>
          <w:caps w:val="false"/>
          <w:smallCaps w:val="false"/>
          <w:sz w:val="20"/>
        </w:rPr>
        <w:t>Qualified Financing Round</w:t>
      </w:r>
      <w:r>
        <w:rPr>
          <w:rFonts w:ascii="Times New Roman PS Std;serif" w:hAnsi="Times New Roman PS Std;serif"/>
          <w:b w:val="false"/>
          <w:i w:val="false"/>
          <w:caps w:val="false"/>
          <w:smallCaps w:val="false"/>
          <w:sz w:val="20"/>
        </w:rPr>
        <w:t>”). The BSA Ratchet C warrants cease to be exercisable on the date Legacy Pasqal completes a direct or indirect initial public offering, including in connection with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Legacy Pasqal Series C Shares in the event that Legacy Pasqal completes an initial public offering, including through a special purpose acquisition company, under which the pre-money valuation of Legacy Pasqal on a fully-diluted basis is less than $2.0 billion (a “</w:t>
      </w:r>
      <w:r>
        <w:rPr>
          <w:rFonts w:ascii="Times New Roman PS Std;serif" w:hAnsi="Times New Roman PS Std;serif"/>
          <w:b/>
          <w:i w:val="false"/>
          <w:caps w:val="false"/>
          <w:smallCaps w:val="false"/>
          <w:sz w:val="20"/>
        </w:rPr>
        <w:t>Qualified IPO</w:t>
      </w:r>
      <w:r>
        <w:rPr>
          <w:rFonts w:ascii="Times New Roman PS Std;serif" w:hAnsi="Times New Roman PS Std;serif"/>
          <w:b w:val="false"/>
          <w:i w:val="false"/>
          <w:caps w:val="false"/>
          <w:smallCaps w:val="false"/>
          <w:sz w:val="20"/>
        </w:rPr>
        <w:t>”). The BSA Ratchet C* warrants cease to be exercisable following a period of sixty days from the notification by Legacy Pasqal of either a Qualified IPO or a direct or indirect initial public offering project (including in connection with the Business Combination) with a pre-money valuation of Legacy Pasqal on a fully diluted basis that is greater than or equal to $2.0 billion.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Legacy Pasqal Series C Shares in the event Legacy Pasqal does not sign a business combination agreement with a special purpose acquisition company. Upon execution of the Business Combination Agreement on February 28, 2026, the BSA Ratchet C** warrants expired.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BSA Ratchet warrants do not meet the definition of an equity instrument and meets the definition of a derivative financial instrument in accordance with IAS 32 — </w:t>
      </w:r>
      <w:r>
        <w:rPr>
          <w:rFonts w:ascii="Times New Roman PS Std;serif" w:hAnsi="Times New Roman PS Std;serif"/>
          <w:b w:val="false"/>
          <w:i/>
          <w:caps w:val="false"/>
          <w:smallCaps w:val="false"/>
          <w:sz w:val="20"/>
        </w:rPr>
        <w:t>Financial Instruments: Presentation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IAS 32</w:t>
      </w:r>
      <w:r>
        <w:rPr>
          <w:rFonts w:ascii="Times New Roman PS Std;serif" w:hAnsi="Times New Roman PS Std;serif"/>
          <w:b w:val="false"/>
          <w:i w:val="false"/>
          <w:caps w:val="false"/>
          <w:smallCaps w:val="false"/>
          <w:sz w:val="20"/>
        </w:rPr>
        <w:t>”) and IFRS 9 —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9</w:t>
      </w:r>
      <w:r>
        <w:rPr>
          <w:rFonts w:ascii="Times New Roman PS Std;serif" w:hAnsi="Times New Roman PS Std;serif"/>
          <w:b w:val="false"/>
          <w:i w:val="false"/>
          <w:caps w:val="false"/>
          <w:smallCaps w:val="false"/>
          <w:sz w:val="20"/>
        </w:rPr>
        <w:t>”), with changes in the fair value recognized in profit or loss. The fair value of the BSA Ratchet warrants was determined to be immaterial as of the respective issuance dates and December 31, 2025, as the warrants provide economic benefits only upon the occurrence of specified contingent events. Based on management’s assessment of facts and circumstances existing as of the issuance dates and December 31, 2025, the occurrence of such contingent events was considered remote, resulting in an expected negligible payoff. As a result, the proceeds received from the Series C Financing were allocated entirely to the shares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connection with the Business Combination, the BSA Ratchet C and BSA Ratchet C* warrants, to the extent unexercised, expired in connection with the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Redeemable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from April 2025 to December 2025, Legacy Pasqal issued the Redeemable Bonds to certain new and existing investors for aggregate proceeds of €68.3 million, which are reported as borrowings in the consolidated statement of financial position of Legacy Pasqal. The Redeemable Bonds bear interest at a fixed rate of 12% per annum and matured on June 30, 2026. The Redeemable Bonds reflect the characteristics of a compound instrument under IAS 32. As the conversion option does not meet the definition of an equity instrument, it is treated as a derivative instrument measured at fair value in accordance with IFRS 9. Legacy Pasqal elected to measure the entire instrument at FVTPL, without separating the embedded derivative related to the conversion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occurrence of a redemption event as defined in the underlying subscription agreements, Legacy Pasqal redeemed the Redeemable Bonds, together with accrued interest, in consideration for a number of Legacy Pasqal Series C Shares, each of which is attached to a share subscription warrant entitling the holder to subscribe to Legacy Pasqal Series C Shares. The Series C Financing represented a qualified equity financing redemption event that resulted in the redemption of the Redeemable Bonds on March 2, 2026 into 682,448 Legacy Pasqal Series C Shares at the Series C Financing price of €139.54.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conversion, Legacy Pasqal remeasured the fair value of the financial liability associated with the Redeemable Bonds as of the conversion date and derecognized the carrying amount of the liability, with a corresponding increase to equity. Accordingly, Legacy Pasqal recognized a €7.1 million of change in fair value of financial instruments at FVTPL immediately prior to the conversion in the consolidated statement of profit or loss of Legacy Pasqal. As the Series C Ratchet warrants attached to Legacy Pasqal Series C Shares were determined to have a nil fair value at inception, the entire fair value of the Redeemable Bonds at the conversion date was allocated to Legacy Pasqal Series C Shares issued upon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report, the Redeemable Bonds issued have been fully converted into Legacy Pasqal Series C Shares and no other Redeemable Bonds were issued and outstanding at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 Replacement and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issued and outstanding BSPCE of Pasqal SAS, to the extent unexercised, was converted to Legacy Pasqal BSPCE on the same terms and conditions, as were applicable, to the Legacy Pasqal BSPCE (including vesting, exercise period and expiration date), in connection with the Pasqal Reorganization, except as otherwise provided by the French Merger Agreement or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and in accordance with the Pasqal SAS Board’s decision and the Legacy Pasqal Board’s decision, certain holders of Pasqal SAS BSPCEs waived the existing 834,641 Pasqal BSPCEs and received 1,439,201 Legacy Pasqal BSPCEs, corresponding to (i) the replacement of 834,641 Pasqal BSPCEs and (ii) the issuance of additional BSPCEs approved by the Pasqal SAS Board’s decision and the Legacy Pasqal Board’s decision and authorized under the Pasqal Holding Shareholder’s Agreement and the Business Combination Agreement. Subsequent to the replacement awards and prior to the Closing, 810 Legacy Pasqal BSPCEs were forfeited, resulting in 1,438,391 Legacy Pasqal BSPCEs outstanding immediately prior to the Closing. The vesting of the replacement Legacy Pasqal BSPCEs considered the vested period of Pasqal SAS BSPCEs. In connection with the replacement, the strike price of the replacement awards was revised to €50.00. As a result, the replacement awards are accounted for as a modification of the original awards under IFRS 2. The incremental fair value of the Legacy Pasqal BSPCEs associated with the modification and the fair value of the approved issuance of additional Legacy Pasqal BSPCEs are reflected as a pro forma adjustment in the unaudited pro forma condensed combined financial information (see Notes 3(f) and 3(i)).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financial information related to the Pasqal Financing Transactions described above are as follows: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Condensed Combined Balance Sheet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To reflect the issuance of 499,769 Legacy Pasqal Series C Shares with attached BSA Ratchets for aggregate proceeds of €69.7 million subsequent to December 31, 2025, pursuant to the Series C Financing. The issued Legacy Pasqal Series C Shares are reflected as an increase in share capital, reflecting the par value of the Legacy Pasqal Series C Shares, with the excess proceeds recorded as an increase in share premium. The BSA Ratchet warrants attached to the Series C Shares were assessed in accordance with applicable IFRS guidance and were determined to have nil fair value as of the issuance date. As a result, the proceeds received from the Series C Financing were allocated entirely to the shares issued. See Note 3, </w:t>
      </w:r>
      <w:r>
        <w:rPr>
          <w:rFonts w:ascii="Times New Roman PS Std;serif" w:hAnsi="Times New Roman PS Std;serif"/>
          <w:b w:val="false"/>
          <w:i/>
          <w:caps w:val="false"/>
          <w:smallCaps w:val="false"/>
          <w:sz w:val="20"/>
        </w:rPr>
        <w:t>Series C Financing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reflect the remeasurement of Legacy Pasqal’s Redeemable Bonds to fair value immediately prior to conversion, resulting in a €7.1 million reduction in the fair value of Legacy Pasqal’s Redeemable Bonds with a corresponding adjustment to loss for the year. Immediately prior to conversion, the Redeemable Bonds had a fair value of €95.2 million from €102.3 million recorded in the historical consolidated statement of financial position of Legacy Pasqal, determined based on the issuance of 682,448 Legacy Pasqal Series C Shares received upon conversion using the Series C Financing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To reflect the conversion of the outstanding principal balance of Redeemable Bonds and accrued interest of €95.2 million into 682,448 Legacy Pasqal Series C Shares subsequent to December 31, 2025, upon the completion of the Series C Financing in February 2026, which was considered a qualified equity financing event pursuant to the underlying subscription agreements. The issued Legacy Pasqal Series C Shares are reflected as an increase in share capital, reflecting the par value of the Legacy Pasqal Series C Shares, with the excess proceeds recorded as an increase in share premium. See Note 3, </w:t>
      </w:r>
      <w:r>
        <w:rPr>
          <w:rFonts w:ascii="Times New Roman PS Std;serif" w:hAnsi="Times New Roman PS Std;serif"/>
          <w:b w:val="false"/>
          <w:i/>
          <w:caps w:val="false"/>
          <w:smallCaps w:val="false"/>
          <w:sz w:val="20"/>
        </w:rPr>
        <w:t>Redeemable Bonds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reflect the exercise of 347,885 BSPCE of Legacy Pasqal for aggregated proceeds of €0.1 million subsequent to December 31, 2025. This adjustment was recorded as an increase in Legacy Pasqal’s share capital, at par value, with the excess proceeds recognized as an increase to Legacy Pasqal’s share premium.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reflect the settlement of contingent consideration in connection with Pasqal SAS’s acquisition of Aeponyx through the issuance of 117,692 Legacy Pasqal Class C ordinary shares to former Aeponyx shareholders prior to the Closing. The contingent consideration was previously recorded in other reserves in Legacy Pasqal’s historical financial statement. Accordingly, the issuance of the shares resulted in a €14.8 million decrease in Legacy Pasqal’s other reserves and a corresponding increase in Legacy Pasqal’s share capital, at par value, with the excess recognized in Legacy Pasqal’s share premium.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reflect the additional share-based compensation expense arising from (i) the incremental fair value of the Legacy Pasqal BSPCEs associated with the modification and (ii) the approved issuance of additional Legacy Pasqal BSPCE awards prior to the Closing. This adjustment is recorded as an increase to Legacy Pasqal’s loss for the year of €28.7 million with a corresponding increase to other reserves. The fair value of the replacement BSPCEs and newly approved BSPCE awards is estimated utilizing a Monte Carlo simulation model. The significant assumptions used in the valuation include the following: (1) a risk-free rate ranging from 2.7% to 3.1%; (2) expected volatility ranging from 130.1% to 132.8%; (3) the fair value of the underlying ordinary share of €96.16; and (4) an expected term ranging from 3 to 6 years.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Condensed Combined Statement of Operations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To eliminate the change in fair value of the Redeemable Bonds incurred on the Redeemable Bonds reflected in the historical consolidated statement of profit or loss of Legacy Pasqal, assuming that the adjustment described in Note 3(c) was made on January 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reflect the remeasurement of Legacy Pasqal’s Redeemable Bonds to fair value immediately prior to conversion, assuming the conversion described in Note 3(b) occurred on January 1, 2025. The remeasurement resulted in a €7.1 million change in the fair value of Legacy Pasqal’s Redeemable Bonds.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reflect the increase in share-based compensation expenses related to the modification of Legacy Pasqal BSPCE awards and the approved issuance of additional Legacy Pasqal BSPCE awards assuming that the adjustment described in Note 3(f) was made on January 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Basis of Pro Forma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was prepared in accordance with Article 11 of SEC Regulation S-X, as amended by the final rule, Release No. 33-10786, Amendments to Financial Disclosures about Acquired and Disposed Businesses. Release No. 33-10786 replaces the historical pro forma adjustments criteria with simplified requirements to depict the transaction accounting adjustments and presents the reasonably estimable synergies and other transaction effects that have occurred or are reasonably expected to occur (“</w:t>
      </w:r>
      <w:r>
        <w:rPr>
          <w:rFonts w:ascii="Times New Roman PS Std;serif" w:hAnsi="Times New Roman PS Std;serif"/>
          <w:b/>
          <w:i w:val="false"/>
          <w:caps w:val="false"/>
          <w:smallCaps w:val="false"/>
          <w:sz w:val="20"/>
        </w:rPr>
        <w:t>Management’s Adjustments</w:t>
      </w:r>
      <w:r>
        <w:rPr>
          <w:rFonts w:ascii="Times New Roman PS Std;serif" w:hAnsi="Times New Roman PS Std;serif"/>
          <w:b w:val="false"/>
          <w:i w:val="false"/>
          <w:caps w:val="false"/>
          <w:smallCaps w:val="false"/>
          <w:sz w:val="20"/>
        </w:rPr>
        <w:t>”). Management elected not to present Management’s Adjustments and presented only transaction accounting adjustments in the unaudited pro forma condensed combined financial information. The transaction accounting adjustments presented in the unaudited pro forma condensed combined financial information were made to provide relevant information necessary for an understanding of the combined company reflecting the accounting for the Transactions. The unaudited pro forma condensed combined financial information did not give effect to any anticipated synergies, operating efficiencies, tax savings, or cost savings that may be associated with the Transactions. Bleichroeder and Legacy Pasqal did not have any historical relationship prior to the Business Combination. Accordingly, no pro forma adjustments were required to eliminate activities between the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made significant estimates and assumptions in its determination of the transaction accounting adjustments. The transaction accounting adjustments were based on available information and certain assumptions and methodologies that management believed were reasonable under the circumstances. The transaction accounting adjustments, which were described in these notes, reflect management’s current estimates of the accounting effects of the transactions. Actual amounts ultimately recognized may differ from these estimates as a result of additional analyses performed following the completion of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using the actual redemptions for cash of Bleichroeder Ordinary Shares. This presentation reflects the exercise of redemption rights by holders of 26,039,602 Bleichroeder public shares for their pro rata share of the funds in the Trust Account at a redemption price of $10.22 or €8.70 per share, using an exchange rate of 1.1747 U.S. dollars per euro. This gives effect to redemptions of Bleichroeder public shares for an aggregate redemption payment of approximately €226.5 million or $266.0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pro forma number of New Pasqal Ordinary Shares outstanding following the consummation of the Transactions, excluding the potential dilutive effect of 17,333,333 outstanding New Pasqal Warrants (comprised of 9,583,333 Public Warrants and 7,750,000 Private Warrants), 32,703,460 New Pasqal BSPCEs and New Pasqal options, 26,041,667 New Pasqal Ordinary Shares issuable upon the conversion of the Senior Unsecured Convertible Bonds, and 32,552,083 New Pasqal Ordinary Shares issuable upon the exercise of the Investment Warrants. The New Pasqal Warrants became exercisable 30 days after the completion of the Business Combination and expire five years after the completion of the Business Combination or earlier upon their redemption or liquidation. The Investment Warrants became immediately exercisable upon issuance and expire five years from the date of the Business Combination.</w:t>
      </w:r>
    </w:p>
    <w:tbl>
      <w:tblPr>
        <w:tblW w:w="10205" w:type="dxa"/>
        <w:jc w:val="left"/>
        <w:tblInd w:w="0" w:type="dxa"/>
        <w:tblLayout w:type="fixed"/>
        <w:tblCellMar>
          <w:top w:w="0" w:type="dxa"/>
          <w:left w:w="0" w:type="dxa"/>
          <w:bottom w:w="0" w:type="dxa"/>
          <w:right w:w="0" w:type="dxa"/>
        </w:tblCellMar>
      </w:tblPr>
      <w:tblGrid>
        <w:gridCol w:w="6993"/>
        <w:gridCol w:w="146"/>
        <w:gridCol w:w="1613"/>
        <w:gridCol w:w="146"/>
        <w:gridCol w:w="749"/>
        <w:gridCol w:w="558"/>
      </w:tblGrid>
      <w:tr>
        <w:trPr/>
        <w:tc>
          <w:tcPr>
            <w:tcW w:w="69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Capitalization Summary Upon Consummation of the Business </w:t>
              <w:br/>
              <w:t>Combination</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 Owned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Ownership</w:t>
            </w:r>
          </w:p>
        </w:tc>
      </w:tr>
      <w:tr>
        <w:trPr/>
        <w:tc>
          <w:tcPr>
            <w:tcW w:w="69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Sponsor and Bleichroeder’s executive officers and directors(1)</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2,710,398</w:t>
            </w:r>
          </w:p>
        </w:tc>
        <w:tc>
          <w:tcPr>
            <w:tcW w:w="146" w:type="dxa"/>
            <w:tcBorders/>
            <w:vAlign w:val="bottom"/>
          </w:tcPr>
          <w:p>
            <w:pPr>
              <w:pStyle w:val="TableContents"/>
              <w:bidi w:val="0"/>
              <w:spacing w:before="0" w:after="283"/>
              <w:jc w:val="left"/>
              <w:rPr/>
            </w:pPr>
            <w:r>
              <w:rPr/>
              <w:t> </w:t>
            </w:r>
          </w:p>
        </w:tc>
        <w:tc>
          <w:tcPr>
            <w:tcW w:w="7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shareholders</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199,999,960</w:t>
            </w:r>
          </w:p>
        </w:tc>
        <w:tc>
          <w:tcPr>
            <w:tcW w:w="14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New Pasqal Ordinary Shares</w:t>
            </w:r>
          </w:p>
        </w:tc>
        <w:tc>
          <w:tcPr>
            <w:tcW w:w="146" w:type="dxa"/>
            <w:tcBorders/>
            <w:vAlign w:val="bottom"/>
          </w:tcPr>
          <w:p>
            <w:pPr>
              <w:pStyle w:val="TableContents"/>
              <w:bidi w:val="0"/>
              <w:spacing w:before="0" w:after="283"/>
              <w:jc w:val="left"/>
              <w:rPr/>
            </w:pPr>
            <w:r>
              <w:rPr/>
              <w:t> </w:t>
            </w:r>
          </w:p>
        </w:tc>
        <w:tc>
          <w:tcPr>
            <w:tcW w:w="16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212,293,691</w:t>
            </w:r>
          </w:p>
        </w:tc>
        <w:tc>
          <w:tcPr>
            <w:tcW w:w="146" w:type="dxa"/>
            <w:tcBorders/>
            <w:vAlign w:val="bottom"/>
          </w:tcPr>
          <w:p>
            <w:pPr>
              <w:pStyle w:val="TableContents"/>
              <w:bidi w:val="0"/>
              <w:spacing w:before="0" w:after="283"/>
              <w:jc w:val="left"/>
              <w:rPr/>
            </w:pPr>
            <w:r>
              <w:rPr/>
              <w:t> </w:t>
            </w:r>
          </w:p>
        </w:tc>
        <w:tc>
          <w:tcPr>
            <w:tcW w:w="74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Includes the 530,000 Founder Shares that vested upon completion of the Business Combination. See Note 1, </w:t>
      </w:r>
      <w:r>
        <w:rPr>
          <w:rFonts w:ascii="Times New Roman PS Std;serif" w:hAnsi="Times New Roman PS Std;serif"/>
          <w:b w:val="false"/>
          <w:i/>
          <w:caps w:val="false"/>
          <w:smallCaps w:val="false"/>
          <w:sz w:val="18"/>
        </w:rPr>
        <w:t>Sponsor-Granted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Membership Interests</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that all outstanding New Pasqal Warrants, New Pasqal BSPCEs, New Pasqal options, and New Pasqal Investment Warrants and Senior Unsecured Convertible Bonds issued in connection with the March 2026 Financing were exercisable and exercised following completion of the Business Combination (and each other assumption applicable to the table set forth above remains the same), then the combined voting power of New Pasqal and combined economic interest in New Pasqal is shown below:</w:t>
      </w:r>
    </w:p>
    <w:tbl>
      <w:tblPr>
        <w:tblW w:w="10205" w:type="dxa"/>
        <w:jc w:val="left"/>
        <w:tblInd w:w="0" w:type="dxa"/>
        <w:tblLayout w:type="fixed"/>
        <w:tblCellMar>
          <w:top w:w="0" w:type="dxa"/>
          <w:left w:w="0" w:type="dxa"/>
          <w:bottom w:w="0" w:type="dxa"/>
          <w:right w:w="0" w:type="dxa"/>
        </w:tblCellMar>
      </w:tblPr>
      <w:tblGrid>
        <w:gridCol w:w="6992"/>
        <w:gridCol w:w="146"/>
        <w:gridCol w:w="1614"/>
        <w:gridCol w:w="146"/>
        <w:gridCol w:w="749"/>
        <w:gridCol w:w="558"/>
      </w:tblGrid>
      <w:tr>
        <w:trPr/>
        <w:tc>
          <w:tcPr>
            <w:tcW w:w="69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 Capitalization Summary (fully diluted basis)</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 Owned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Ownership</w:t>
            </w:r>
          </w:p>
        </w:tc>
      </w:tr>
      <w:tr>
        <w:trPr/>
        <w:tc>
          <w:tcPr>
            <w:tcW w:w="6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Sponsor and Bleichroeder’s executive officers and directors(1)</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2,710,398</w:t>
            </w:r>
          </w:p>
        </w:tc>
        <w:tc>
          <w:tcPr>
            <w:tcW w:w="146" w:type="dxa"/>
            <w:tcBorders/>
            <w:vAlign w:val="bottom"/>
          </w:tcPr>
          <w:p>
            <w:pPr>
              <w:pStyle w:val="TableContents"/>
              <w:bidi w:val="0"/>
              <w:spacing w:before="0" w:after="283"/>
              <w:jc w:val="left"/>
              <w:rPr/>
            </w:pPr>
            <w:r>
              <w:rPr/>
              <w:t> </w:t>
            </w:r>
          </w:p>
        </w:tc>
        <w:tc>
          <w:tcPr>
            <w:tcW w:w="7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shareholders(2)</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232,703,420</w:t>
            </w:r>
          </w:p>
        </w:tc>
        <w:tc>
          <w:tcPr>
            <w:tcW w:w="14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pursuant to the March 2026 Financing</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26,041,667</w:t>
            </w:r>
          </w:p>
        </w:tc>
        <w:tc>
          <w:tcPr>
            <w:tcW w:w="146" w:type="dxa"/>
            <w:tcBorders/>
            <w:vAlign w:val="bottom"/>
          </w:tcPr>
          <w:p>
            <w:pPr>
              <w:pStyle w:val="TableContents"/>
              <w:bidi w:val="0"/>
              <w:spacing w:before="0" w:after="283"/>
              <w:jc w:val="left"/>
              <w:rPr/>
            </w:pPr>
            <w:r>
              <w:rPr/>
              <w:t> </w:t>
            </w:r>
          </w:p>
        </w:tc>
        <w:tc>
          <w:tcPr>
            <w:tcW w:w="7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Warrants(3)</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17,333,333</w:t>
            </w:r>
          </w:p>
        </w:tc>
        <w:tc>
          <w:tcPr>
            <w:tcW w:w="14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Investment Warrants</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32,552,083</w:t>
            </w:r>
          </w:p>
        </w:tc>
        <w:tc>
          <w:tcPr>
            <w:tcW w:w="146" w:type="dxa"/>
            <w:tcBorders/>
            <w:vAlign w:val="bottom"/>
          </w:tcPr>
          <w:p>
            <w:pPr>
              <w:pStyle w:val="TableContents"/>
              <w:bidi w:val="0"/>
              <w:spacing w:before="0" w:after="283"/>
              <w:jc w:val="left"/>
              <w:rPr/>
            </w:pPr>
            <w:r>
              <w:rPr/>
              <w:t> </w:t>
            </w:r>
          </w:p>
        </w:tc>
        <w:tc>
          <w:tcPr>
            <w:tcW w:w="7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fully diluted New Pasqal Ordinary Shares</w:t>
            </w:r>
          </w:p>
        </w:tc>
        <w:tc>
          <w:tcPr>
            <w:tcW w:w="146" w:type="dxa"/>
            <w:tcBorders/>
            <w:shd w:fill="CCEEFF" w:val="clear"/>
            <w:vAlign w:val="bottom"/>
          </w:tcPr>
          <w:p>
            <w:pPr>
              <w:pStyle w:val="TableContents"/>
              <w:bidi w:val="0"/>
              <w:spacing w:before="0" w:after="283"/>
              <w:jc w:val="left"/>
              <w:rPr/>
            </w:pPr>
            <w:r>
              <w:rPr/>
              <w:t> </w:t>
            </w:r>
          </w:p>
        </w:tc>
        <w:tc>
          <w:tcPr>
            <w:tcW w:w="16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320,924,234</w:t>
            </w:r>
          </w:p>
        </w:tc>
        <w:tc>
          <w:tcPr>
            <w:tcW w:w="146" w:type="dxa"/>
            <w:tcBorders/>
            <w:shd w:fill="CCEEFF" w:val="clear"/>
            <w:vAlign w:val="bottom"/>
          </w:tcPr>
          <w:p>
            <w:pPr>
              <w:pStyle w:val="TableContents"/>
              <w:bidi w:val="0"/>
              <w:spacing w:before="0" w:after="283"/>
              <w:jc w:val="left"/>
              <w:rPr/>
            </w:pPr>
            <w:r>
              <w:rPr/>
              <w:t> </w:t>
            </w:r>
          </w:p>
        </w:tc>
        <w:tc>
          <w:tcPr>
            <w:tcW w:w="7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Includes the 530,000 Founder Shares that vested upon completion of the Business Combination. See Note 1, </w:t>
      </w:r>
      <w:r>
        <w:rPr>
          <w:rFonts w:ascii="Times New Roman PS Std;serif" w:hAnsi="Times New Roman PS Std;serif"/>
          <w:b w:val="false"/>
          <w:i/>
          <w:caps w:val="false"/>
          <w:smallCaps w:val="false"/>
          <w:sz w:val="18"/>
        </w:rPr>
        <w:t>Sponsor-Granted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Membership Interests</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1,438,391 outstanding Legacy Pasqal BSPCEs and Legacy Pasqal options issued to former Legacy Pasqal shareholders at Closing, which represent an aggregate of 32,703,460 New Pasqal BSPCEs and New Pasqal Options after application of the Exchange Ratio of 22.7361.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Comprised of 9,583,333 Public Warrants and 7,750,000 Private Warrants.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IFRS Adjustments and Reclassifications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financial information of Bleichroeder as of and for the year ended December 31, 2025 was prepared in accordance with U.S. GAAP and has been adjusted to give effect to the differences between U.S. GAAP and IFRS.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IFRS adjustments and included in the unaudited pro forma condensed combined balance sheet as of December 31, 2025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reflect the reclassification of Bleichroeder Class A ordinary shares subject to possible redemption from mezzanine equity under U.S. GAAP to liabilities under IFRS, as the shareholders have the right to require Bleichroeder to redeem their pro rata share of the funds in the Trust Account and Bleichroeder has an irrevocable obligation to deliver cash or another financial instrument for such redemption.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reflect the reclassification of the $3.4 million or €2.9 million Public Warrants described in Note 2(a) and $7.8 million or €6.6 million Private Warrants described in Note 2(b) from equity classification under U.S. GAAP to liability classification under IFRS, due to both the Public Warrants and Private Warrants having net share settlement provisions that permit settlement in a variable number of shares, which preclude equity classification under IAS 32. As Bleichroeder’s additional paid-in capital was zero, after giving effect to Bleichroeder’s IPO-related entries described Note 2, the resulting IFRS adjustment in equity related to the warrant classification was recorded as an adjustment to accumulated deficit.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reflect the reclassification adjustments to align Bleichroeder’s historical financial statement balances with the presentation of Legacy Pasqal’s historical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IFRS adjustments and included in the unaudited pro forma condensed combined statement of operations for the year ended December 31, 2025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reflect the reclassification adjustments to align Bleichroeder’s historical financial statement balances with the presentation of Legacy Pasqal’s historical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Accounting for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capital reorganization in accordance with IFRS as issued by the IASB. Under this method of accounting, Bleichroeder is treated as the “acquired” company for financial reporting purposes, and Legacy Pasqal is the accounting “acquirer”. This determination is primarily based 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Pasqal’s existing shareholders hold a majority of the voting power of New Pasqal;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Pasqal is the larger entity in terms of substantive operations and employee base;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Pasqal designates a majority of the members of the board of directors of New Pasqal;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Pasqal’s operations comprise the ongoing operations of New Pasqal;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Legacy Pasqal’s existing senior management comprises all of the senior management of New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does not meet the definition of a “business” pursuant to IFRS 3 —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3</w:t>
      </w:r>
      <w:r>
        <w:rPr>
          <w:rFonts w:ascii="Times New Roman PS Std;serif" w:hAnsi="Times New Roman PS Std;serif"/>
          <w:b w:val="false"/>
          <w:i w:val="false"/>
          <w:caps w:val="false"/>
          <w:smallCaps w:val="false"/>
          <w:sz w:val="20"/>
        </w:rPr>
        <w:t>”), and accordingly, for accounting purposes, the Business Combination is accounted for as a capital reorganization within the scope of IFRS 2. The Business Combination is treated as the equivalent of New Pasqal issuing its ordinary shares in exchange for the net assets of Bleichroeder. As a result, the net assets of Bleichroeder is stated at historical cost, with no goodwill or other intangible assets recorded. In accordance with IFRS 2,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New Pasqal Ordinary Shares Issued to Legacy Pasqal shareholders upon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Ordinary Shares issued to Legacy Pasqal shareholders at the closing of the Business Combination is determined based on the Exchange Ratio of 22.7361 calculated as of the date of this Report, as follows:</w:t>
      </w:r>
    </w:p>
    <w:tbl>
      <w:tblPr>
        <w:tblW w:w="10205" w:type="dxa"/>
        <w:jc w:val="left"/>
        <w:tblInd w:w="0" w:type="dxa"/>
        <w:tblLayout w:type="fixed"/>
        <w:tblCellMar>
          <w:top w:w="0" w:type="dxa"/>
          <w:left w:w="0" w:type="dxa"/>
          <w:bottom w:w="0" w:type="dxa"/>
          <w:right w:w="0" w:type="dxa"/>
        </w:tblCellMar>
      </w:tblPr>
      <w:tblGrid>
        <w:gridCol w:w="8648"/>
        <w:gridCol w:w="146"/>
        <w:gridCol w:w="1411"/>
      </w:tblGrid>
      <w:tr>
        <w:trPr/>
        <w:tc>
          <w:tcPr>
            <w:tcW w:w="86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Ordinary Shares outstanding as of December 31, 2025</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7,148,772</w:t>
            </w:r>
          </w:p>
        </w:tc>
      </w:tr>
      <w:tr>
        <w:trPr/>
        <w:tc>
          <w:tcPr>
            <w:tcW w:w="86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Ordinary Shares issued subsequent to December 31, 2025 in connection with the Series C Financing</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499,769</w:t>
            </w:r>
          </w:p>
        </w:tc>
      </w:tr>
      <w:tr>
        <w:trPr/>
        <w:tc>
          <w:tcPr>
            <w:tcW w:w="86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Ordinary Shares issued upon conversion of the Redeemable Bonds</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682,448</w:t>
            </w:r>
          </w:p>
        </w:tc>
      </w:tr>
      <w:tr>
        <w:trPr/>
        <w:tc>
          <w:tcPr>
            <w:tcW w:w="86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Ordinary Shares issued upon subsequent exercise of BSPCEs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347,885</w:t>
            </w:r>
          </w:p>
        </w:tc>
      </w:tr>
      <w:tr>
        <w:trPr/>
        <w:tc>
          <w:tcPr>
            <w:tcW w:w="86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Pasqal Ordinary Shares issued to former Aeponyx shareholders in connection with Pasqal SAS’s acquisition of Aeponyx</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117,692</w:t>
            </w:r>
          </w:p>
        </w:tc>
      </w:tr>
      <w:tr>
        <w:trPr/>
        <w:tc>
          <w:tcPr>
            <w:tcW w:w="86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Legacy Pasqal Ordinary Shares outstanding prior to the Closing</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8,796,566</w:t>
            </w:r>
          </w:p>
        </w:tc>
      </w:tr>
      <w:tr>
        <w:trPr/>
        <w:tc>
          <w:tcPr>
            <w:tcW w:w="86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Ratio</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22.7361</w:t>
            </w:r>
          </w:p>
        </w:tc>
      </w:tr>
      <w:tr>
        <w:trPr/>
        <w:tc>
          <w:tcPr>
            <w:tcW w:w="86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Ordinary Shares to be issued to Legacy Pasqal shareholders upon Closing</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199,999,960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Adjustments to Unaudited Pro Forma Condensed Combined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December 31, 2025 reflects transaction accounting adjustments that depict the accounting for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notes and adjustments, based on preliminary estimates that could change materially as additional information is obtained, are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Balance Sheet Pro forma Transaction Accounting Adjustments: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Bleichroeder pro forma transaction accounting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reflect the change in fair value of the Public Warrants and Private Warrants of $17.6 million or €15.0 million, based on the market price for the Public Warrants of $1.66 or €1.41 as of August 27, 2026, translated using an exchange rate of 1.1747 USD per EUR, which represents the exchange rate in effect as of the pro forma balance sheet date of December 31, 2025. The resulting adjustment was recorded as an increase in warrant liabilities and accumulated deficit. The fair value of the Private Warrants was determined using the fair value of the Public Warrants as the terms and conditions of the Private Warrants are substantially identical to those of the Public Warrants.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To reflect the accelerated vesting of membership interests that equate to an aggregate of 530,000 Founder Shares to Bleichroeder’s executive officers and directors for their services performed during the period from issuance through the completion of the Business Combination. The accelerated vesting is recorded as an increase in additional paid-in capital and an increase in accumulated deficit of $1.6 million or €1.3 million, representing the grant date fair value of the membership interests subject to a performance condition. See Note 1, </w:t>
      </w:r>
      <w:r>
        <w:rPr>
          <w:rFonts w:ascii="Times New Roman PS Std;serif" w:hAnsi="Times New Roman PS Std;serif"/>
          <w:b w:val="false"/>
          <w:i/>
          <w:caps w:val="false"/>
          <w:smallCaps w:val="false"/>
          <w:sz w:val="20"/>
        </w:rPr>
        <w:t>Sponsor-Granted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Membership Interests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reflect that the holders of 26,039,602 Bleichroeder Ordinary Shares subject to possible redemption exercise their redemption rights prior to the consummation of the Business Combination at a redemption price of approximately $10.22 or €8.70 per share, using an exchange rate of 1.1747 USD per EUR on the pro forma balance sheet date of December 31, 2025, resulting in aggregate redemptions of approximately €226.5 million or $266.0 million from the Trust Account, as if such redemption had occurred on December 31,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reflect the release of approximately €18.3 million from the cash held in Trust Account to cash upon the completion of the Business Combination, after giving effect to Public Shareholders exercised their redemption rights to have their Bleichroeder Ordinary Shares redeemed for their pro rata share of the Trust Account.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reflect the reclassification of remaining 2,710,398 Bleichroeder Ordinary Shares subject to possible redemption from a liability to equity upon consummation of the Business Combination and recording the corresponding increase in Bleichroeder Class A ordinary shares at par value with the remaining balances recorded in additional paid-in capital.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reflect the (i) cash settlement of the €1.0 million deferred underwriting fee incurred during the Bleichroeder IPO that is payable upon completion of the Business Combination and (ii) the derecognition of the €9.4 million deferred underwriting fee liability associated with the portion of the public shares that were redeemed and no longer due or payable. The derecognized deferred underwriting fee liability has been recorded as a corresponding increase in additional paid-in capital. The deferred underwriting fee liability was contingent upon, and calculated as a percentage of the gross proceeds remaining in the Trust Account and payable upon the completion of the Business Combination.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To reflect the transaction costs of approximately €7.7 million, not yet reflected in the historical financial statements, which were incurred by Bleichroeder in connection with the Business Combination, such as advisory, legal and auditor fees. The adjustment is reflected in the unaudited pro forma condensed combined balance sheet as a decrease in cash of €7.7 million to reflect payments made at Closing with a corresponding increase in accumulated deficit.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Combination accounting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reflect the conversion of Legacy Pasqal shares into 199,999,960 New Pasqal Ordinary Shares based on the same exchange ratio, which resulted in an increase in New Pasqal share capital at €0.02 par value of €4.0 million, share premium of €245.5 million, accumulated deficit of €32.5 million, other reserves of €63.5 million and loss for the year of €137.1 million. As a result of the conversion, Legacy Pasqal’s equity balances were derecognized, reflecting decreases in share capital of €0.9 million, share premium of €248.7 million, accumulated deficit of €32.5 million, other reserves of €63.5 million and loss for the year of €137.1 million.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reflect the issuance of New Pasqal Ordinary Shares on a one-for-one basis, pursuant to the Reincorporation Merger in exchange for the net assets of Bleichroeder. 9,583,333 New Pasqal Ordinary Shares were issued and recorded as an increase to New Pasqal share capital at €0.02 par value of €0.2 million and a corresponding reduction New Pasqal’s share premium of €13.4 million in exchange for Bleichroeder’s net assets resulting in the derecognition of Bleichroeder’s equity. The derecognition of Bleichroeder’s equity reflects a €1 thousand decrease in Class B Ordinary Shares, a €29.1 million decrease in additional paid in capital (after giving effect to the adjustments described in Notes 2(a), 2(b), 2(c), 2(e), 8(b), 8(e) and 8(f)) and a €42.2 million decrease in accumulated deficit (after giving effect to the adjustments described in Notes 2(e), 5(b), 8(a), 8(b) and 8(g)).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excess of the fair value of the New Pasqal Ordinary Shares issued by New Pasqal over the fair value of Bleichroeder identifiable net assets at the date of the Business Combination is recorded as a listing services expense in accordance with IFRS 2. The fair value of the New Pasqal Ordinary Shares is determined based on the market price of Bleichroeder Ordinary Shares of $9.79 or €8.33 per share as of August 27, 2026. The fair value of the New Pasqal Ordinary Shares issued to Bleichroeder shareholders is €102.5 million compared to the fair value of adjusted Bleichroeder identifiable net liabilities at the date of the Business Combination of €13.1 million resulting in a preliminary listing services expense of €115.6 million.</w:t>
      </w:r>
    </w:p>
    <w:tbl>
      <w:tblPr>
        <w:tblW w:w="10205" w:type="dxa"/>
        <w:jc w:val="left"/>
        <w:tblInd w:w="0" w:type="dxa"/>
        <w:tblLayout w:type="fixed"/>
        <w:tblCellMar>
          <w:top w:w="0" w:type="dxa"/>
          <w:left w:w="0" w:type="dxa"/>
          <w:bottom w:w="0" w:type="dxa"/>
          <w:right w:w="0" w:type="dxa"/>
        </w:tblCellMar>
      </w:tblPr>
      <w:tblGrid>
        <w:gridCol w:w="6728"/>
        <w:gridCol w:w="146"/>
        <w:gridCol w:w="1426"/>
        <w:gridCol w:w="166"/>
        <w:gridCol w:w="327"/>
        <w:gridCol w:w="1082"/>
        <w:gridCol w:w="330"/>
      </w:tblGrid>
      <w:tr>
        <w:trPr/>
        <w:tc>
          <w:tcPr>
            <w:tcW w:w="67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66" w:type="dxa"/>
            <w:tcBorders/>
            <w:vAlign w:val="bottom"/>
          </w:tcPr>
          <w:p>
            <w:pPr>
              <w:pStyle w:val="TableContents"/>
              <w:bidi w:val="0"/>
              <w:spacing w:before="0" w:after="283"/>
              <w:jc w:val="left"/>
              <w:rPr/>
            </w:pPr>
            <w:r>
              <w:rPr/>
              <w:t> </w:t>
            </w:r>
          </w:p>
        </w:tc>
        <w:tc>
          <w:tcPr>
            <w:tcW w:w="17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w:t>
            </w:r>
          </w:p>
        </w:tc>
      </w:tr>
      <w:tr>
        <w:trPr/>
        <w:tc>
          <w:tcPr>
            <w:tcW w:w="67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(In thousands, except share and per </w:t>
              <w:br/>
              <w:t>share amounts)</w:t>
            </w:r>
          </w:p>
        </w:tc>
      </w:tr>
      <w:tr>
        <w:trPr/>
        <w:tc>
          <w:tcPr>
            <w:tcW w:w="67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shareholders</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2"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2,710,398</w:t>
            </w:r>
          </w:p>
        </w:tc>
        <w:tc>
          <w:tcPr>
            <w:tcW w:w="16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22,589</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Sponsor</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6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79,868</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New Pasqal Ordinary Shares to be issued to Bleichroeder shareholders</w:t>
            </w:r>
          </w:p>
        </w:tc>
        <w:tc>
          <w:tcPr>
            <w:tcW w:w="146" w:type="dxa"/>
            <w:tcBorders/>
            <w:vAlign w:val="bottom"/>
          </w:tcPr>
          <w:p>
            <w:pPr>
              <w:pStyle w:val="TableContents"/>
              <w:bidi w:val="0"/>
              <w:spacing w:before="0" w:after="283"/>
              <w:jc w:val="left"/>
              <w:rPr/>
            </w:pPr>
            <w:r>
              <w:rPr/>
              <w:t> </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12,293,731</w:t>
            </w:r>
          </w:p>
        </w:tc>
        <w:tc>
          <w:tcPr>
            <w:tcW w:w="166"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8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102,457</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2"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net liabilities of Bleichroeder as of December 31, 2025</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(13,110</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2 charge for listing services</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115,567</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       To reflect the issuance and sale of the Senior Unsecured Convertible Bonds and the Investment Warrants in connection with the closing of the Business Combination, for gross cash proceeds of €212.8 million, pursuant to the March 2026 Financing. Upon issuance, the Senior Unsecured Convertible Bonds and the Investment Warrants are measured at their relative fair values and recorded in borrowings of €278.5 million and warrant liabilities of €99.8 million, respectively, in the unaudited condensed combined pro forma balance sheet. Any difference between the total proceeds received and the aggregate fair value of the Senior Unsecured Convertible Bonds and the Investment Warrants at issuance results in a day-one gain or loss, which may be deferred and recognized in profit or loss over the term of the issued instruments on a straight-line basis, or recognized immediately, when the underlying inputs for the fair value measurement become observable. Since the Business Combination results in the share price of New Pasqal Ordinary Shares, which represents the most significant input to fair value measurement for both instruments, being observable, the day-one loss of €165.5 million is recognized immediately in loss for the year, and the Senior Unsecured Convertible Bonds and the Investment Warrants are recognized on the unaudited condensed combined pro forma balance sheet for their respective fair value of €278.5 million and €99.8 million, respectively. See Note 1, </w:t>
      </w:r>
      <w:r>
        <w:rPr>
          <w:rFonts w:ascii="Times New Roman PS Std;serif" w:hAnsi="Times New Roman PS Std;serif"/>
          <w:b w:val="false"/>
          <w:i/>
          <w:caps w:val="false"/>
          <w:smallCaps w:val="false"/>
          <w:sz w:val="20"/>
        </w:rPr>
        <w:t>March 2026 Financing</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To reflect transaction costs of €24.3 million incurred by Legacy Pasqal in connection with the Business Combination, such as advisory, legal, accounting and auditing fees and other professional fees. As of the pro forma balance sheet date, the €24.3 million transaction costs have been accrued and allocated between newly issued shares and newly listed but previously existing shares. Approximately €1.3 million is allocated to newly issued shares and included as an adjustment to share premium, and approximately €23.0 million is allocated to the newly listed but previously existing shares and included as an adjustment to loss for the year and reflected in the pro forma condensed combined statement of operations for the year ended December 31,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Adjustments to Unaudited Pro Forma Condensed Combined Statement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notes and adjustments, based on preliminary estimates that could change materially as additional information is obtained, are as follows: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Statement of Operations Pro forma Transaction Accounting Adjustments: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Bleichroeder pro forma transaction accounting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reflect the compensation expense related to the accelerated vesting of membership interests upon the closing of the Business Combination that equates to an aggregate of 530,000 Founder Shares to Bleichroeder’s executive officers and directors, assuming that the adjustment described in Note 8(b) was made on January 1, 2025.</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Combination accounting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reflect transaction costs incurred by Legacy Pasqal in connection with the Business Combination, such as advisory, legal, accounting and auditing fees and other professional fees, that are allocated to the newly listed but previously existing shares, assuming that the adjustment described in Note 8(k) was made on January 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reflect the stock exchange listing expense recognized, in accordance with IFRS 2, for the excess of the fair value of New Pasqal Ordinary Shares issued and the fair value of Bleichroeder’s identifiable net assets acquired from the Transactions, assuming that the adjustment described in Note 8(i) was made on January 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reflect the annual estimated interest expense associated with the March 2026 Financing, assuming the Senior Unsecured Convertible Bonds were issued on January 1, 2025. The interest rate assumed for purposes of preparing the unaudited pro forma condensed combined financial information is using the interest rate of 10% payable in cash on a semi-annual basis, representing the most likely scenario, as the Senior Unsecured Convertible Bonds may be settled in cash or New Pasqal Ordinary Shares at the election of New Pasqal pursuant to the terms of the securities purchase agreement. Assuming an interest rate of 12% per annum in PIK on an annual basis, the pro forma net loss for the year ended December 31, 2025 would be €417.7 million and the pro forma net loss per share of New Pasqal, basic and diluted, would be €1.97.</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reflect the recognition of the day-one loss of €165.5 million arising from the issuance of the Senior Unsecured Convertible Bonds and the Investment Warrants assuming that the adjustment described in Note 8(j) occurred on January 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pro forma basic and diluted net loss per share amounts presented in the unaudited pro forma condensed combined statement of operations are based upon the number of New Pasqal Ordinary Shares outstanding at Closing, as if the Transactions had occurred on January 1, 2025. For periods in which Bleichroeder, Legacy Pasqal, or the combined company reported a net loss, diluted loss per share is the same as basic loss per share, since dilutive potential shares are not assumed to have been issued as their effect would be anti-dilutive. The calculation of weighted-average shares outstanding for pro forma basic and diluted net loss per share assumes that the shares issuable in connection with the Transactions have been outstanding for the entirety of the period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basic and diluted net loss per share is calculated as follows for the year ended December 31, 2025:</w:t>
      </w:r>
    </w:p>
    <w:tbl>
      <w:tblPr>
        <w:tblW w:w="10205" w:type="dxa"/>
        <w:jc w:val="left"/>
        <w:tblInd w:w="0" w:type="dxa"/>
        <w:tblLayout w:type="fixed"/>
        <w:tblCellMar>
          <w:top w:w="0" w:type="dxa"/>
          <w:left w:w="0" w:type="dxa"/>
          <w:bottom w:w="0" w:type="dxa"/>
          <w:right w:w="0" w:type="dxa"/>
        </w:tblCellMar>
      </w:tblPr>
      <w:tblGrid>
        <w:gridCol w:w="8121"/>
        <w:gridCol w:w="146"/>
        <w:gridCol w:w="286"/>
        <w:gridCol w:w="1366"/>
        <w:gridCol w:w="286"/>
      </w:tblGrid>
      <w:tr>
        <w:trPr/>
        <w:tc>
          <w:tcPr>
            <w:tcW w:w="8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8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(In thousands, </w:t>
              <w:br/>
              <w:t xml:space="preserve">except share </w:t>
              <w:br/>
              <w:t xml:space="preserve">and per share </w:t>
              <w:br/>
              <w:t>amounts)</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(412,183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weighted average number of Bleichroeder Ordinary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Ordinary Shares no longer subject to forfeiture upon consummation of the Bleichroeder IPO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Ordinary Shares owned by public shareholders that were subject to redemption upon Closing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2,710,398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Ordinary Shares issued to Legacy Pasqal shareholders upon Closing (see Note 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199,999,960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New Pasqal Ordinary Shares outstanding used in 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212,293,691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per share of New Pasqal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(i) 32,703,460 New Pasqal BSPCEs and New Pasqal options, (ii) 26,041,667 New Pasqal Ordinary Shares issuable upon the conversion of the Senior Unsecured Convertible Bonds, (iii) 32,552,083 New Pasqal Ordinary Shares issuable upon the exercise of the Investment Warrants, and (iv) 17,333,333 New Pasqal Ordinary Shares issuable upon the exercise of the New Pasqal Warrants (comprised of 9,583,333 Public Warrants and 7,750,000 Private Warrants), have been excluded from the computation of diluted net loss per share attributable to ordinary shareholders for the year ended December 31, 2025, because including them would have been antidilutive.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1"/>
      <w:bookmarkEnd w:id="11"/>
      <w:r>
        <w:rPr>
          <w:rFonts w:ascii="Times New Roman PS Std;serif" w:hAnsi="Times New Roman PS Std;serif"/>
          <w:b/>
          <w:i w:val="false"/>
          <w:caps w:val="false"/>
          <w:smallCaps w:val="false"/>
          <w:sz w:val="20"/>
        </w:rPr>
        <w:t xml:space="preserve">OUR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delivers industry-ready neutral-atom QPUs, which we believe are designed to transform cutting-edge scientific breakthroughs into real-world business solutions across multiple industries.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pioneer in neutral-atom quantum computing, Pasqal seeks to play a leading role in advancing the field of quantum computing and believes it has established itself as a major global player in the space.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Pasqal is a French Company founded in 2019, out of the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by Dr. Georges-Olivier Reymond, Dr. Christophe Jurczak, Professor Alain Aspect, (Nobel Prize Laureate Physics, 2022), Professor Antoine Browaeys and Dr. Thierry Lahaye. The founding team are the co-inventors of neutral-atom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following the consummation of the Business Combination, Pasqal has approximately $360 million of cash available, employs approximately 300 people worldwide including more than 70 PhDs, holds approximately 92 issued and pending patents, and has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key strengths include: (i) being at the forefront of neutral-atom technology, which is believed to be one of the most flexible and scalable technologies among quantum platforms; (ii) controlling every critical aspect of system development to drive operational and financial outcomes; and (iii) having a proven track record of bringing advanced quantum products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at the forefront of developing scalable QPUs that deliver highly scalable computational capabilities, operate in standard data centers, and provide consistent performance enabled by precise qubit control and improved coherence times in both analog and digital modes. Pasqal’s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t>
      </w:r>
      <w:r>
        <w:rPr>
          <w:rFonts w:ascii="Times New Roman PS Std;serif" w:hAnsi="Times New Roman PS Std;serif"/>
          <w:b/>
          <w:i w:val="false"/>
          <w:caps w:val="false"/>
          <w:smallCaps w:val="false"/>
          <w:sz w:val="20"/>
        </w:rPr>
        <w:t>AI</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commitment to innovation is reflected in its ongoing research collaborations with leading industrial and academic partners, as well as its ability to make its quantum computing capabilities accessible through leading cloud-based services. These initiatives are helping to drive the practical adoption of quantum technology and expanding its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solve the scalability challenges inherent in other quantum computing initiatives, Pasqal employs a modular approach to its neutral-atom processors, enabling the expansion of qubit arrays without compromising performance or fidelity. The Company’s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(over 200 logical qubits anticipated by 2029). By continuously improving qubit coherence, accuracy of operations through gate fidelity, and error correction strategies, Pasqal seeks to ensure that its quantum systems remain reliable and accurate as they scale, overcoming key barriers to widespread quantum 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demonstrated the scaling of its commercial capability with seven QPUs installed and three in production. Pasqal has two operational QPU manufacturing facilities in France and Canada that are expected to ramp up to a capacity of 13 QPUs per year, subject to full staffing, preparation and parts availability. We believe this allows us to match our customers’ timelines and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worked with over 40 customers and strategic partners globally, including IBM (Pasqal is part of the IBM quantum network), NVIDIA, Google, Microsoft, and leading high-performance computing (“</w:t>
      </w:r>
      <w:r>
        <w:rPr>
          <w:rFonts w:ascii="Times New Roman PS Std;serif" w:hAnsi="Times New Roman PS Std;serif"/>
          <w:b/>
          <w:i w:val="false"/>
          <w:caps w:val="false"/>
          <w:smallCaps w:val="false"/>
          <w:sz w:val="20"/>
        </w:rPr>
        <w:t>HPC</w:t>
      </w:r>
      <w:r>
        <w:rPr>
          <w:rFonts w:ascii="Times New Roman PS Std;serif" w:hAnsi="Times New Roman PS Std;serif"/>
          <w:b w:val="false"/>
          <w:i w:val="false"/>
          <w:caps w:val="false"/>
          <w:smallCaps w:val="false"/>
          <w:sz w:val="20"/>
        </w:rPr>
        <w:t>”) centers such as GENCI/CEA, CINECA and Forschungszentrum Jülich. The Company’s revenue to date is derived from direct sales of its QPUs and from cloud-based access to its QPUs, serving a growing base of enterprise and research customers. This has resulted in the development of over 25 commercial use cases across different industry verticals and approximately $78.6 million (€68.4 million) in booked and awarded business, including grants, as of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2026, Pasqal achieved a key technological milestone under the French government’s PROQCIMA agreement, successfully demonstrating an initial capability to construct and operate the key building blocks of a logical qubit, reflecting progress toward more fault-tolerant quantum computing architectures. In addition, in May 2026, Pasqal was selected as a finalist in the XPRIZE Quantum Applications competition, a three-year, $5 million global competition supported by Google Quantum AI, Google.org, and the Geneva Science and Diplomacy Anticipator (GESDA), which is designed to identify teams whose quantum computing solutions are grounded in clear, real-world use cases and ready for rigorous benchmarking against classical methods. Also in May 2026, Pasqal completed an experimental demonstration, run on its neutral-atom quantum processor, in which it applied a quantum kernel (a quantum machine-learning method) to solve differential equations and compared the end-to-end performance of the algorithm at the logical and physical levels, achieving a lower computational error with the logical-qubit implementation, which Pasqal believes represents, to its knowledge, the first experimental application of a quantum kernel to the task of solving differential equations.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Leadership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led by an experienced management team, including its Chief Executive Officer, Dr. Wasiq Bokhari, and its Chief Technology Officer, Dr. Loïc Henriet. Dr. Wasiq Bokhari brings to Pasqal more than 20 years of experience in deploying and scaling disruptive technologies as an entrepreneur, venture capitalist, and former business and technology leader at Google and Amazon. He has deep operating experience at scale, having built and grown multiple businesses in the deep tech sector. He has a unique combination of deep scientific and technology background combined with his business operating experience. He holds undergraduate degrees and a PhD in physics from the Massachusetts Institute of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earliest employees, Dr. Henriet oversees the Company’s hardware and software technological roadmap and its overall technical operations. His background pairs rigorous training in physics with deep knowledge in engineering, computer science and adjacent disciplines. This breadth allows him to integrate scientific, technical, and operational dimensions to maximize impact and value creation for Pasqal. He earned his engineering degree and PhD from École Polytechnique.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Pasqal’s founding team remain actively involved in the Company’s operations and strategic direction. The continued presence of the co-founders, including world leading scientists such as Professor Alain Aspect, Nobel laureate in Physics 2022 (Chairman of Pasqal Scientific Advisory Board), Professor Antoine Browaeys (Chief Scientist), member of the French Académie des Sciences and 2025 John Stewart Bell Prize, and Dr. Georges-Olivier Reymond (Pasqal’s co-founder and former Chief Executive Officer), presents a unique combination of deep technical knowledge and a long-term commitment to innovation. This deeply committed and visionary leadership is a key asset, supporting Pasqal’s mission to deliver practical quantum computing solutions and drive the next wave of technological advancement.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Pasqal founding team is responsible for creating the neutral-atom technology, which is believed to be one of the most scalable technologies in quantum computing. In 1982, Professor Alain Aspect experimentally demonstrated entanglement in his Nobel-winning experiment; in 2001, Dr Georges-Olivier Reymond performed the first experimental demonstration of a trapped neutral atom; and between 2009 and 2018, Professor Antoine Browaeys demonstrated the Rydberg blockade and worked on quantum simulations.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Quantum Computing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quantum computing represents a revolutionary change beyond classical approaches, enabling solutions to problems that are intractable for traditional Central Processing Unit (“CPU”) or emerging Graphics Processing Unit (“GPU”)-based systems. Unlike classical computers, which process information in binary bits, quantum computers use qubits that can exist in multiple states simultaneously and be correlated with one another through phenomena such as superposition and entanglement. Over the past century, foundational breakthroughs — including Planck’s discovery of energy quanta, Bohr’s atomic model, and the development of quantum mechanics — have paved the way for today’s quantum technologies. Experimental advances, such as the demonstration of nuclear magnetic resonance and the confirmation of quantum entanglement, have provided the tools and scientific validation necessary for building practical quantum devices.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idea of harnessing quantum mechanics for computation gained momentum in the 1980s, when physicists like Richard Feynman and David Deutsch proposed that quantum computers could efficiently solve problems that are impossible for classical machines, such as simulating complex molecules or factoring large numbers. In 1983, Professor Dr. Alain Aspect and his team performed experiments that confirmed violations of Bell’s inequalities, providing definitive evidence that quantum entanglement is a real and fundamental feature of nature. The confirmation of entanglement by Professor Dr. Aspect was a turning point for quantum science. These theoretical insights were soon followed by experimental milestones, including the realization of the first quantum logic gates and the ability to trap and control individual atoms with lasers. Such advances laid the groundwork for new quantum computing platforms, including those based on neutral atoms.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is rooted in these scientific achievements. In the early 2000s, researchers, including Dr. Georges-Olivier Reymond, demonstrated the trapping of single neutral atoms using optical tweezers.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the entanglement of individual atoms using the Rydberg blockade effect was achieved. These breakthroughs proved that neutral atoms could be precisely manipulated and entangled, meeting the stringent requirements for quantum information processing. By 2016 and 2018, further progress enabled high-fidelity quantum operations and the control of large, programmable arrays of neutral atoms, establishing this approach as a leading contender for scalable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this foundation, Pasqal was founded in 2019 to commercialize neutral-atom quantum computing. The Company brings together world-class expertise in quantum physics and engineering to transform laboratory innovations into practical quantum systems. Pasqal’s technology leverages the unique advantages of neutral atoms, such as scalability, precision, and stability, to deliver powerful quantum computers capable of addressing real-world challenges in fields ranging from logistics and energy to healthcare and pharmaceuticals, finance, materials and manufacturing, aerospace and defense and AI.</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as the Third Pillar of the Future of Compute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view, quantum computing will not replace existing CPU or GPU based computation, but will be a complementary and co-equal third pillar of computation. We expect quantum computing to be primarily used to solve problems that are difficult or impossible for CPU or GPU based computation to solve. In the near term we expect these problems to fall into three categories for Pasqal: materials simulation, quantum machine learning and optimization.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illustration of the difference between CPU or GPU based computation and quantum computing, we can look at a specific example of simulation and modeling of materials, chemicals and pharmaceuticals.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using CPU or GPU based computation, such simulation and modeling are performed inefficiently through approximations resulting in long times and high expense for discovery and design.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due to the following two reasons: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number of possible chemical compounds, excluding polymers, is very large. There are approximately 1063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63 zeros) possible chemical compounds. For proteins, the challenge is greater. The number of possible proteins composed of 400 amino acids is 10520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520 zeros). For comparison, it is estimated that the number of atoms in the whole visible universe are about 1080. These number of possible solutions cannot be represented in any existing or foreseeable CPU based computation system’s memory. Beyond that, for any form of CPU or GPU based computation, it is physically impossible to go through all of these possibilities as it would take time that is many times longer than the age of the universe. This challenge of sifting through many possibilities is also encountered in optimization problems where the goal is to find the right answer among billions of alternatives.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beyond the issue of being able to find the right molecule or protein amongst so many possibilities, the atomic and molecular level behavior is governed by the laws of quantum mechanics, including important correlations, that traditional or AI based systems cannot adequately approximate. This results in incomplete and inaccurate simulation of materials. As a result, identifying truly optimal materials or molecules for a given use is often out of reach. Instead, researchers experience costly trial and error in order to find materials or molecules that may be better than the existing ones. This helps explain why many molecules used in drugs or catalysts have remained largely unchanged for decades, often carry side effects, and are difficult to personalize or customize for specific individuals or use cases. These constraints drive significant inefficiencies and limit progress on persistent challenges, including those spanning personal health, energy, advanced materials, and chemical and biological processes.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computers operate differently. They replicate the actual quantum mechanical environment of the molecules or materials they are trying to simulate, including all the relevant system dynamics and correlations. Furthermore, a quantum computer scales in a fundamentally different — and often exponentially more powerful way than classical systems. A 100 qubit quantum computer can, in principle, represent 2100 or 1029 states. By roughly doubling the qubit count to 215 qubits, a quantum computer can represent 2215 or 1064 states, enough to represent all possible non polymer chemical compounds. A 2000 qubit quantum computer can encompass all possible proteins composed of 400 amino acids. In addition, computation in a quantum computer is inherently “parallel” where the quantum computer can explore all possibilities simultaneously, with quantum algorithms used to extract the right answer efficiently. Traditional computers or AI systems cannot traverse such vast spaces even over billions of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inherent advantages of accurate quantum-mechanical modeling, efficient search across unimaginably large solution spaces, and exponential scaling that matches problem complexity make quantum computers unique and powerful.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why we focus on solving material simulations and optimization problems. Pasqal’s neutral-atom technology offers the ability to solve these complex problems that are beyond the reach of classical or AI based computers alone. Pasqal currently offers commercial systems in 200 or more qubit count range, has demonstrated systems with more than 1,000 trapped atoms and can scale to tens of thousands of qubits per QPU. Our quantum computing approach is poised to transform a wide range of industries, including financial services, energy and utilities, materials and manufacturing, logistics, pharmaceuticals and healthcare, logistics, aerospace and defense and 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computers work alongside traditional computers or AI based systems to solve problems efficiently and at scale. Tasks that are very difficult or impossible for classical or AI systems are offloaded to our quantum computers, and the results are then integrated to produce the final answer. This hybrid approach leverages the best strengths of each form of computation.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fields like pharmaceuticals and material science, neutral-atom quantum computers have the potential to revolutionize research and development. By simulating molecular and atomic interactions at the quantum level, these systems allow scientists to model molecules with greater accuracy, accelerating the discovery of new drugs and the design of advanced materials. Similarly, the energy sector can use quantum simulations to develop better materials for batteries and renewable energy technologies, supporting the transition to a more sustainable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Tasks such as optimizing global supply chains in logistics or minimizing risk in large investment portfolios in financial services involve countless variables and possible outcomes, making them extremely challenging for traditional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in AI and machine learning, the scalable architecture of neutral-atom quantum computers can significantly enhance the processing of datasets and the optimization of complex models, paving the way for breakthroughs in personalized medicine, autonomous systems, and more.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also brings both challenges and solutions to cybersecurity. While quantum computers could potentially break many classical encryption systems, they also enable new forms of quantum cryptography that promise more secure communication channels, resistant to both classical and quantum attack. This dual impact is particularly relevant for sectors such as telecommunications, defense, and advanced electronics, where data security and network optimization are critical.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Overall, we believe the market opportunities linked to quantum computing are vast and rapidly expanding. In the near term, as the technology matures, it is expected to drive innovation, efficiency, and competitive advantage across multiple industries. Quantum computing presents a projected $700-800 billion market opportunity from 2035 to 2040, at par with what is expected from generative AI. The directly impacted use cases are predicted to be wide-ranging, from financial services to logistics, including advanced materials and life sciences, driven by algorithmic pillars such as optimization and machine learning that Pasqal is developing. This estimate does not include the impact of new use cases or products uniquely enabled by quantum computation that we cannot foresee at this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is expected to realize its full potential in three phases: Phase I — Quantum Utility Era (2024 to 2026); Phase II — Quantum Advantage Era (2027 to 2030); and Phase III — Fault Tolerant (2031 to 2035 and beyond). Each phase targets key industries such as finance, life sciences, energy, pharmaceuticals and cybersecurity, broadening the scope of impact. Pasqal is already commercializing Phase I and expects to deliver and monetize Phases II and III.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computation is at the center of every activity in our civilization, quantum computing is a fundamentally impactful capability that we expect will reshape our daily lives.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pioneering a cutting-edge approach to quantum computing based on neutral-atom technology, which we believe stands out as one of the most promising quantum architectures today. A key strength of this approach is its universal hardware platform, which supports both analog and digital quantum computing, delivering practical utility today while providing a clear long-term path toward fault-tolerant quantum computation. Neutral-atom technology works at room temperature and consumes relatively low energy. To appreciate the significance of Pasqal’s work, it is helpful to first understand the fundamentals of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unlike classical computers, which process information using binary bits that represent either a 0 or a 1, quantum computers use quantum bits, or qubits, which can exist in multiple states at once due to the phenomenon of superposition. This property enables quantum computers to represent and manipulate superpositions of computational states, thereby allowing them to explore large solution spaces in parallel. In addition, quantum computers can exploit entanglement, a uniquely quantum correlation in which the joint state of multiple qubits cannot be described independently, even when the qubits are spatially separated. Further, entanglement provides access to non-classical correlations that can be leveraged for computational performance. For certain problem classes, such as combinatorial optimization (e.g., supply chain optimization) or quantum simulation (e.g., modeling molecular systems relevant to drug discovery), it can result in substantial advantages over classical approaches.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leverages neutral atoms (atoms that carry no electrical charge) as qubits. These neutral atoms are laser-cooled and trapped in precise arrays of laser-generated optical tweezers. This technique allows scientists and engineers to arrange and control individual atoms with remarkable precision. Once the atoms are in place, additional lasers are used to manipulate their quantum states, enabling the creation of superposition and entanglement among the qubits. By using hundreds of such trapped qubits, Pasqal’s quantum computers are designed to execute highly complex calculations that are challenging for classical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same neutral-atom hardware supports two complementary computational modes. In the near term, Pasqal leads with high-performance analog quantum computing, harnessing naturally occurring interactions between atoms to solve optimization, quantum machine learning and material simulation problems efficiently. On the same physical platform, the system can also operate in a digital, gate-based mode, enabling universal quantum logic and providing a direct pathway toward quantum error correction and, ultimately, fault-tolerant computation. This dual capability and flexibility is a distinctive feature of Pasqal’s approach and underpins its performance today and its long-term scalability.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Traditionally, building quantum computers faced major engineering obstacles. Early quantum platforms often needed ultra-low temperatures, had limited coherence times, and were difficult to scale, which limited their practical use. One of the major advantages of neutral-atom quantum computing is its scalability. Many quantum computing platforms face significant manufacturing challenges due to the sensitivity and instability of their qubits. Unlike other quantum computing platforms, Pasqal does not need to manufacture qubits, as the Company uses neutral atoms as qubits, allowing Pasqal to leverage the uniformity provided by nature itself. This makes it possible to envision quantum computers with millions of high-quality qubits with long coherence times. Additionally, the neutral-atom quantum technology operates at room temperature, without the need for cryogenic refrigeration of qubits, leading to cost-effective and robust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mode of operation of a neutral-atom quantum computer can be broken down into several key steps. First, neutral atoms are cooled and trapped in an array using optical tweezers. Next, lasers are used to manipulate the quantum states of the atoms, performing the necessary quantum operations for a given computation. In digital mode, this corresponds to implementing sequences of quantum gates; in analog mode, the system is programmed by setting up the configuration of atoms in a way that represents the problem</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During this process, quantum entanglement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superposition allow the computer to implement quantum algorithms intended to outperform certain classical approaches. Finally, once the computation is complete, lasers are again used to measure the states of the qubits through fluorescence and read out the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neutral-atom platforms are particularly well positioned for the transition from today’s early computers to large-scale, quantum-error-corrected systems. Optical tweezer arrays provide a path to scaling to thousands and ultimately millions of qubits with flexible, reconfigurable geometries, directly addressing the substantial physical qubit overhead required for fault-tolerant architectures. Because both analog and digital approaches are implemented on the same hardware, advances in control, coherence, and system engineering directly benefit the roadmap toward logical, error-corrected qubits. At the same time, long coherence times, improving gate fidelities and gate speeds based on Rydberg-mediated interactions, and dynamic connectivity enable efficient implementation of error-correcting codes and repeated syndrome extraction. In addition, photonic interconnects between atom arrays offer a pathway to modular architectures, allowing multiple processors to be networked into larger systems without sacrificing qubit quality. These combined attributes support a roadmap from near-term analog quantum advantage to robust, universal, fault-tolerant quantum computing. Since the 2000s and the emergence of quantum computing platforms, neutral atoms have caught up with competing technologies such as trapped ions and superconducting qubits on key metrics like fidelity and outperforming technological platforms on qubit 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this approach, Pasqal seeks to enable the development of powerful, scalable quantum computers that have the potential to revolutionize industries ranging from logistics and energy to pharmaceuticals and beyond. By combining cutting-edge analog performance today with a credible path to digital, error-corrected quantum computing on the same hardware platform, we believe Pasqal is addressing some of the most significant challenges in quantum computing and positioning itself at the forefront of the next technological revolution.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intellectual property portfolio plays a strategic role in advancing our innovation and leadership in quantum computing. The Company’s patent portfolio seeks to protect our current developments and the intellectual property space for the Company’s technology roadmap and anticipated areas of development. Pasqal relies upon a combination of protections afforded to owners of patents, copyrights, trade secrets, and trademarks, along with confidentiality and proprietary rights agreements with employees, consultants, contractors, vendors and business partners to establish and protect its intellectual property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Pasqal has approximately 92 issued and pending patent families across multiple jurisdictions that protect its full-stack technology across hardware, software, and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hardware-related IP portfolio comprises approximately 57 patent families covering qubit and register-related technologies, QPU operations (fidelity and flexibility), industrialization, and quantum error correction. The Company’s applications and software IP portfolio comprises approximately 35 patent families covering optimization, quantum simulation and materials, quantum machine learning, and quantum software infrastructure.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issued patents will expire between 2039 and 2046, and the oldest patents for Aeponyx Technologies will expire in 2032.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regularly reviews its development efforts to assess the existence and patentability of new inventions, and expects to file additional patent applications when it would benefit our business to do 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pursues international registration of its domain names and trademarks. It is the registered holder of a variety of domain name registrations, including “Pasqal.com”. As of the date of this prospectus, Pasqal’s trademark portfolio consists of (i) 8 U.S. trademark registrations (including 6 logos), (ii) 10 foreign trademark registrations (including 8 logos), and (iii) 10 recently filed foreign trademark applications (including 3 logos).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Technology Strategy and 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approach to developing and fostering real world application of quantum computing is structured around the following three core pillars: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Rapid deployment of quantum computers:    </w:t>
      </w:r>
      <w:r>
        <w:rPr>
          <w:rFonts w:ascii="Times New Roman PS Std;serif" w:hAnsi="Times New Roman PS Std;serif"/>
          <w:b w:val="false"/>
          <w:i w:val="false"/>
          <w:caps w:val="false"/>
          <w:smallCaps w:val="false"/>
          <w:sz w:val="20"/>
        </w:rPr>
        <w:t xml:space="preserve">Pasqal is committed to making quantum computing accessible and impactful today by deploying its neutral-atom QPUs at scale. Over the past year, the Company has deployed QPUs at leading HPC centers in France, Germany and Saudi Arabia, and delivered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additional QPU to Italy, with commissioning planned for 2026. These installations mark a significant step toward integrating quantum processors into real-world computing infrastructures and enabling hybrid quantum-classical workflows. Pasqal is also collaborating with industry leaders, including NVIDIA and IBM, to standardize QPU integration in HPC environments, ensuring seamless orchestration and broader adoption of quantum computing.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Demonstration of quantum advantage (QA) on industry-relevant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problems:    </w:t>
      </w:r>
      <w:r>
        <w:rPr>
          <w:rFonts w:ascii="Times New Roman PS Std;serif" w:hAnsi="Times New Roman PS Std;serif"/>
          <w:b w:val="false"/>
          <w:i w:val="false"/>
          <w:caps w:val="false"/>
          <w:smallCaps w:val="false"/>
          <w:sz w:val="20"/>
        </w:rPr>
        <w:t>A central pillar of Pasqal’s strategy is to achieve and demonstrate quantum advantage where quantum computers outperform classical systems on practical, industry-relevant tasks. While competitors focus on universal gate-based computing (which tries to force all quantum physics into logical gates), our analog architecture natively mimics the physical laws of nature while preserving our ability to deliver state of the art logical gate-based computing. Native analog architecture eliminates the computational overhead of gate-based systems, delivering hardware-native solutions today. The Company has developed a 324 qubits QPU specifically optimized for this purpose, with first demonstrations achieved in the field of material sciences. Quantum materials discovery is a promising field that opens new avenues for breakthroughs with potential impacts on a number of industries. Pasqal’s efforts span key algorithmic domains, including optimization, quantum simulation, and machine learning, with applications in logistics, energy, finance, materials science, and pharmaceuticals.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An accelerated path toward digital 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quantum computing (“FTQC”):    </w:t>
      </w:r>
      <w:r>
        <w:rPr>
          <w:rFonts w:ascii="Times New Roman PS Std;serif" w:hAnsi="Times New Roman PS Std;serif"/>
          <w:b w:val="false"/>
          <w:i w:val="false"/>
          <w:caps w:val="false"/>
          <w:smallCaps w:val="false"/>
          <w:sz w:val="20"/>
        </w:rPr>
        <w:t>Looking ahead, Pasqal’s technology roadmap is focused on scaling toward digital fault-tolerant quantum computing, being quantum computing capable of automatically correcting errors that occur during quantum calculations. The Company has reached 1,000 physical trapped atoms and aims to reach 10,000 physical qubits by 2028, while simultaneously improving reliability through the development of logical qubits. Pasqal is also investing in photonic integrated circuits (PICs) to enhance qubit control fidelity and hardware scalability, following its acquisition of Aeponyx Technologies, a leading photonic integrated circuit company based in Canada. PICs are a strategic component for both Pasqal’s research and development and production hardware activities. PICs enable new capabilities, such as high-speed modulators, low-noise laser sources, low-noise amplifiers, and advanced filters, that are compatible with scaling quantum technology to tens of thousands of qubits. In addition, PICs present a unique opportunity to simplify the engineering of complex optical systems, supporting industrialization through greater compactness and large-scale production. To enable rapid and smooth innovation, Pasqal has built a modular, upgradable hardware architecture for future-proof excellence. This commitment to innovation is intended to keep Pasqal’s modular hardware platform competitive and capable of supporting the transition from today’s analog quantum computing to tomorrow’s fully digital, error-corrected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Pasqal’s approach stands out due to several key competitive strengths: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at the forefront of neutral-atom quantum technology, which we believe offers unmatched flexibility and scalability among quantum platforms. This foundation supports scalable quantum computing and opens the door to advanced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handle every critical aspect of our system’s development. By integrating all critical components in-house, we can innovate faster, enhance system reliability, and improve both manufacturing efficiency and financial outcomes.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a proven track record of bringing advanced quantum products to market, as we have already delivered functioning QPUs to external HPC centers in France, Germany, Saudi Arabia and Italy. Our focus is on commercializing neutral-atom platforms with a clear roadmap for scaling.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believe we have one of the largest bases of high — qubit-count QPUs deployed, operational, or in active production among pure-play industry peers worldwide.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Products &amp; Offerings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Hardware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long-term objective is to achieve FTQC and to reach universality of computation and improve quantum computing key metrics, which is expected to surpass classical systems in terms of speed, accuracy, and energy efficiency, Pasqal’s neutral-atom QPU hardware is already being used to address specific use cases in optimization, simulation, and machine learning.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current commercially HPC integrated Orion machine features from 140 up to 200 physical qubits and requires only 4 kW compared to more than 1,400 kW for a classical supercomputer. Pasqal enables QPU for delivery and installation on-site so that its customers benefit from dedicated availability and full control over hardware updates.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each next generation of machine (Vela expected in 2027, 200+ physical qubits, Centaurus expected in 2028, for early FTQC, and Lyra expected in 2029 delivering impactful FTQC), Pasqal’s processors are increasing not only in qubit count, but also in repetition rate, fidelity, and number of parallel gate operations (running tasks simultaneously)</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seven (7) Orion QPUs have been installed, of which four (4) QPUs have already been delivered to third parties: the first to the French supercomputing center GENCI/CEA, the second to the Jülich Supercomputing Centre at Forschungszentrum Jülich, the third in Saudi Arabia, and the fourth to the Italy-based European HPC center, CINECA, with commissioning of the CINECA unit planned for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Cloud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working to provide remote access to quantum hardware for clients worldwide. Pasqal offers a robust suite of cloud services designed to make quantum computing accessible to a broad range of users, from researchers and developers to enterprise clients. Through partnerships with major cloud providers such as Microsoft Azure and Google Cloud Marketplace, as well as its own user portal, Pasqal enables seamless remote access to its neutral-atom QPUs.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Pasqal’s full-stack approach, the cloud services allow users to run quantum algorithms, perform simulations, and experiment with quantum applications without the need for specialized on-premises hardware. Pasqal’s cloud platform supports analog quantum computing mode and is integrated with advanced software tools like Pulser and Pulser Studio, which facilitate the design, testing, and deployment of quantum algorithms. By providing scalable, on-demand access to quantum hardware and a comprehensive software stack, Pasqal’s cloud offering accelerates innovation, supports education and research, and empowers organizations to explore and develop real-world quantum solutions.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Software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software stack is designed to address real-world challenges across industries such as logistics, finance, energy, telecom, and chemistry, supporting successful projects and industrial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 applications represent the front-end, where users design, develop, and submit quantum programs along with specifying computational resources. The Company offers ready-to-use libraries built around quantum-hybrid algorithms, tailored to problem classes like combinatorial optimization, dynamical system simulation, and quantum-inspired machine learning, with the aim of aligning customer needs with quantum solutions. Pasqal’s multi-level software development kit enables users to design quantum algorithms, compile them for neutral-atom architectures, and integrate them seamlessly into existing classical applications and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middleware layer coordinates the hybrid execution environment, being the bridge between classical HPC (or cloud), AI and quantum computing. This offers scalable options for experimentation, benchmarking, and integration into larger quantum-classical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core quantum engine manages quantum processing, control, and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consultation and training, Pasqal also supports businesses and researchers in adopting and implementing quantum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Neutral-atom technology is a cost-effective approach compared with other competing platforms and enables scalable quantum computing. Building on this strength, Pasqal invested early in its lifetime, in in-house manufacturing capabilities foundational to its success. The Company’s investment in infrastructure and processes is expected to enable it to ramp up its capacity in the next few years to up to thirteen (13) QPUs per year, subject to full staffing and parts availability.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Go-to-Market &amp; Business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Go-to-Market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strategy is to provide high performance and cost effective quantum computing capabilities to our customers. Our customers are typically large supercomputing centers, enterprises in multiple sectors, the research community and industry innovators developing new materials, drugs and processes.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through three segments (i) direct sales of our QPUs, (ii) cloud services or cloud access to our QPUs through strategic partners and (iii) software and algorithms related to our QPUs and for specific use cases. Direct sales of our QPUs target large public or enterprise customers. Cloud access to our QPUs is designed for broader research community and for application-specific use cases for enterprise customers. We are a global company with a significant presence and customer base in France and the European Union, and a growing footprint in the U.S., the Gulf Cooperation Council and Asia-Pacific regions. Our approach allows us to expand efficiently across different markets.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Model, commercialization levers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enterprise-grade QPU and manufacturing capabilities, the company plans to shift from one-off sales to structured enterprise sales model with tailored strategies and deeper engagement across HPC centers and universities in Europe, the United States, the Gulf Cooperation Council and Asia-Pacific regions with dedicated regional teams.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commercial capabilities expand, the Company expects to scale cloud-based quantum access and accelerate adoption of Quantum Computing As A Service using enterprise ready applications and QPU emulation for target industries. Initially, the Company expects to leverage a quantum advantage inflection point as a business driver and broaden the range of monetizable use cases during the quantum advantage era.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promising results and the potential of quantum computing, Pasqal expects to deliver quantum embedded data unavailable by classical methods to unlock new insights in catalysis, corrosion and memory materials, creating a new business lever: Quantum Data as a Service.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 &amp; Key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sees the future of quantum computing as dependent on building a strong network of forward-thinking organizations that are dedicated to advancing the field. The Company has been actively forming commercial and collaborative partnerships with groups that not only understand the unique challenges of their industries but also bring specialized scientific and engineering knowledge.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such, Pasqal collaborates with a diverse range of leading clients and partners across sectors such as finance, healthcare, energy, and logistics. With approximately $78.6 million (€68.4 million) booked and awarded business including grants as of March 31, 2026, Pasqal’s network includes reputable academic institutions, research laboratories, and technology companies focused on advancing practical quantum computing applications. So far, Pasqal has concentrated on building a variety of customer relationships (leading to the identification of over 25 commercial use cases) and research collaborations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leading players in the energy sector seeking to leverage quantum computing for new use cases and algorithm development, such as EDF and Saudi Aramco, with whom Pasqal is deploying and operating the first 200-qubit quantum computer in Saudi Arabia;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logistics and mobility sector aiming at integrating quantum technology into the optimization of their operations, such as the CMA CGM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industry and materials science sectors aiming at accelerating to solve complex business challenges and materials discovery through atomic structure modeling, multiphysics and material simulations such as LG Electronics Inc., Panasonic Industry, and Sumitomo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cloud service providers expanding access to quantum computing technology, such as Microsoft and Google Cloud, with whom Pasqal announced in 2025 integrations enabling users to access Pasqal’s neutral-atom quantum computer via Microsoft Azure Quantum and to access the Pasqal Cloud platform and QPU through the Google Cloud Marketplace, allowing organizations to integrate quantum capabilities into their workflows and enhance computational efficiency;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materials sciences researchers and quantum algorithm developers at renowned laboratories in academic venues such as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xml:space="preserve"> Graduate School, Jülich, CEA, Cineca, Université de Sherbrooke, Calgary University, and KAIST;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technology leaders collaborating on integrated quantum-classical computing frameworks for high-performance computing, such as IBM (Pasqal being a member of IBM quantum network), with whom Pasqal established the first partnership of its kind between a major U.S. technology institution and a company developing neutral atom-based quantum processors, leveraging IBM’s Qiskit quantum software. As part of this collaboration, in 2025 researchers from Pasqal and IBM jointly published a paper proposing a rigorous, platform-agnostic framework for defining quantum advantage, including in the context of materials simulation.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Pasqal announced a memorandum of understanding (the “</w:t>
      </w:r>
      <w:r>
        <w:rPr>
          <w:rFonts w:ascii="Times New Roman PS Std;serif" w:hAnsi="Times New Roman PS Std;serif"/>
          <w:b/>
          <w:i w:val="false"/>
          <w:caps w:val="false"/>
          <w:smallCaps w:val="false"/>
          <w:sz w:val="20"/>
        </w:rPr>
        <w:t>Saudi MoU</w:t>
      </w:r>
      <w:r>
        <w:rPr>
          <w:rFonts w:ascii="Times New Roman PS Std;serif" w:hAnsi="Times New Roman PS Std;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The joint venture is intended to deploy and operate our neutral-atom systems in the Kingdom, to bring our offerings to market for customers in the Kingdom and the wider region, and to develop local talent and expertise. In connection with the arrangement, HRH Abdulaziz bin Turki bin Talal Al Saud, the founder of Eleven Ventures, is expected to be appointed as Chairman of the Board of the joint venture entity, Pasqal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establishment of the joint venture remains subject to the approval of our board of directors and to the negotiation and execution of definitive agreements between the parties. Accordingly, there can be no assurance that definitive agreements will be entered into on the terms currently contemplated, or at all, or that the joint venture will be established or achieve the results currently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we entered into a research collaboration agreement with King Abdulaziz City for Science and Technology (“KACST”), represented by its National Center for Quantum Technologies, to advance research and development across multiple domains of quantum technology and to enhance quantum cryptography readiness in the Kingdom of Saudi Arabia. Under the agreement, our neutral-atom quantum processing technology and cloud services will be paired with KACST’s national research infrastructure to develop, test and validate quantum-safe cryptographic solutions, with the work to be carried out at the National Center for Quantum Technologies. Quantum cryptography is the first focus area of what the parties intend to be a broader multi-year research program, and the parties have expressed a shared objective of ultimately bringing commercial offerings to the Saudi market. The agreement complements our other activities in the Kingdom, including our deployment of QPUs with Saudi Arabian Oil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research collaboration agreement does not obligate either party to enter into any commercial arrangement, and there can be no assurance that the collaboration will result in commercially viable products or offerings, that any future phases of the research program will be agreed, or that we will realize the anticipated benefits of the collaboration.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&amp;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go-to-market strategy centers on engaging high-value enterprise, public-sector, and research customers globally, both directly and through a network of ecosystem partners, including leading cloud providers and HPC centers. This model supports early adoption of our neutral-atom computing capabilities in mission-critical and high-value workflows and establishes a foundation for scaled procurement and embedded deployments as performance advances. We pursue opportunities across Europe and internationally, serving more than 30 customers in over 7 countries, and maintain deep collaborations with national research agencies and HPC institutions. We also form targeted strategic collaborations with major technology partners to integrate our systems into established compute workflows and accelerate customer adoption via the cloud, working alongside partners such as IBM, NVIDIA, Google, and Microsoft.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marketing and public affairs strategy has centered on building global visibility, fostering industry partnerships, and positioning itself as a leader in quantum innovation. For example, in 2024, the Company participated in several industry and technology events, including a high-performance computing workshop organized by King Abdullah University of Science and Technology in Saudi Arabia focused on the convergence of high-performance computing and quantum computing. In the same year, Pasqal organized a “Quantum Computing for Energy” event in Houston, Texas, which convened participants from industry, research institutions, and investment firms to discuss potential applications of quantum computing in areas including artificial intelligence, climate modeling, and energy systems. The Company also organized Pasqal Thoughts, an event dedicated to discussions on developments in quantum computing and its potential applications across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conducted a roadshow in the Middle East in 2024, organizing events in Abu Dhabi and Riyadh to engage with regional stakeholders from industry, research institutions, and government organizations. The Company also participated in international technology conferences, including GITEX Global in Dubai.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organized two editions of a global sustainability-focused hackathon, Blaise Pascal Quantum Challenge, inviting students, developers, researchers, startups, and industry participants to explore applications of quantum computing and artificial intelligence aligned with the United Nations Sustainable Development Goals. The initiative attracted hundreds of participants from more than 70 countries and focused on topics including energy systems optimization, resource efficiency, and sustainable healthcare innovation.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Company continued to participate in a number of international technology and industry events, including LEAP Tech Conference in Saudi Arabia, the Quantum Innovation Summit in Dubai, NVIDIA GTC in the United States, Viva Technology in France, and the Supercomputing Conference in the United States. At the 2025 edition of NVIDIA GTC, Dr. Loïc Henriet participated in a session with Jensen Huang related to developments at the intersection of quantum computing and artificial intelligence. In 2026, the Company hosted its annual Pasqal Thoughts event in Paris, bringing together more than 150 participants from industry, academia, finance, and government across more than 10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achievements and partnerships have been widely covered in leading media outlets such as Bloomberg, Reuters, Sifted, HPC Wire, The Quantum Insider, and L’Usine Digitale, further enhancing its reputation and reach in the global quantum technology landscape. As Pasqal’s hardware platforms evolve and scale with successive generations, the Company intends to increase its allocation of resources to sales and marketing activities, with the objective of broadening the base of enterprise customers who directly license access to Pasqal’s quantum computing solutions.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is rapidly changing and highly competitive. As new technologies emerge and more companies enter the field, Pasqal anticipates that competition will intensify over time. This could potentially impact Pasqal’s business performance and financial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faces competition from both established and emerging companies that are developing and operating quantum computing technologies. Leading players in quantum hardware and software development include IBM, Google, Microsoft, Amazon, Honeywell, IonQ, PsiQuantum, Rigetti, Quantinuum, Xanadu, Infleqtion, Horizon Quantum, IQM and QuEra. Additionally, many major cloud providers and traditional semiconductor companies are investing in quantum research and may pursue building their own quantum computers. There are also numerous startups focused on creating quantum hardware, software, applications, and cloud-based quantum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expects its main competitors to be other firms working on advanced quantum computing solutions. Key factors that will shape competition in this space include the underlying technology used to build quantum computers, system performance (such as scalability, speed, and accuracy), ease of access and user experience, software and application support, integration with classical computing workflows, pace of innovation, ability to deliver value through strategic partnerships, quality of customer support, effectiveness of solutions, pricing, brand reputation, financial strength, and the ability to attract and retain top talent.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Competitive analysis of the quantum industry should be viewed through the lens of what advantage customers can realize with real-world commercial applications. With Pasqal’s position at the forefront of neutral-atom quantum technology, extensive intellectual property portfolio, ability to handle in-house every critical aspect of system development, record of commercial execution and emerging use cases demonstrating practical value to enterprise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Pasqal believes it is well positioned to compete, grow, and capture a significant share of the quantum computing market. However, Pasqal faces various risks relating to competition as described in “</w:t>
      </w:r>
      <w:r>
        <w:rPr>
          <w:rFonts w:ascii="Times New Roman PS Std;serif" w:hAnsi="Times New Roman PS Std;serif"/>
          <w:b w:val="false"/>
          <w:i/>
          <w:caps w:val="false"/>
          <w:smallCaps w:val="false"/>
          <w:sz w:val="20"/>
        </w:rPr>
        <w:t>Risk Factors — Risks Related to Pasqal’s Business and Industry — The quantum computing industry is competitive on a global scale and Pasqal may not be successful in competing in this industry or establishing and maintaining confidence in its long-term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business prospects among current and future partners and customers. Additionally, competitive pressures may put pressure on our pricing, which may require us to reduce our pricing in order to provide competitively priced access to our products and services.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activities are subject to (or could be subject to in the future) various laws and regulations, particularly in the areas of export control and emerging European quantum technology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Pasqal’s QPUs are not classified as dual-use items and therefore are not subject to sensitive export control regulations. However, the Company remains vigilant, as changes in legislation could alter this status. To anticipate such risks, Pasqal has implemented active regulatory monitoring, rigorous internal compliance procedures, and maintains regular dialogue with the relevant authorities to ensure ongoing compliance and responsible international expansion (especially in geographies in which Pasqal is established such as France,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European level, the proposed EU Quantum Act, which is not yet in force, may introduce new requirements regarding the development, commercialization, and compliance of quantum technologies. In preparation, Pasqal pursues a proactive advocacy strategy, including participation in industry events and engagement with policymakers, to ensure readiness for any regulatory changes and to promote a framework that supports the competitiveness of the European quantum sector.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subject to certain restrictions and oversight as a result of its relationship with the French State and its corporate governance structure. Bpifrance, the French public investment bank, is a shareholder of Pasqal, and will have representation on the go-forward Pasqal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Pasqal SAS. This committee, which includes a representative of Bpifrance and other key stakeholders, has authority to approve or block decisions relating to, among other things, changes to Pasqal SAS’ jurisdiction of incorporation, the transfer of intellectual property owned by Pasqal outside of France, the sale of significant assets owned by Pasqal to non-EU acquirers, and the appointment of key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New Pasqal, which establishes a framework for the segregation of operations and activities within the Pasqal group,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 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and Human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success relies heavily on its talented team. The Company takes pride in hiring skilled professionals who are passionate about advancing quantum computing. As of the date of this prospectus, Pasqal employs approximately 300 people, including experts in quantum hardware and software, engineering, and business operations. Many of Pasqal’s staff are based out of the Palaiseau, France office, and the Company also works with a select group of consultants and contractors to support its core team. Most employees are focused on research and development, and more than 70 PhD degrees are held by these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maintained positive relationships with its workforce and has not faced any work stoppages. Pasqal has maintained positive relationships with its workforce and has not faced any work stoppages. Pasqal’s employees are subject to a collective bargaining agreement (convention collective nationale des bureaux d’études techniques, des cabinets d’ingenieurs-conseils et des sociétés de conseils du 16 juillet 2021 — BET, SYNTEC). None of Pasqal’s employees are represented by a labor union at this time. In addition, working time organization is governed by a company-level agreement signed with employee representatives.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July 2024, Pasqal’s corporate headquarters have been located in Palaiseau, France, occupying 57,113 square feet pursuant to a lease agreement that is scheduled to expire in June 2034. The headquarters house 14 specialized laboratories, 10 rooms dedicated to QPUs for research and development, production, and cloud activities, as well as more than 200 workstations for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subleases approximately 6,673 square feet of space in Massy, France under a sublease agreement that is scheduled to expire in August 2028 with an option to renew for an additional one-year term. This facility is currently used to accommodate the parts of the assembly laboratory that have not yet been transferred to the corporate headquarters for operational reasons.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Company’s cold and vacuum activity is operated from a facility located in Joinville-le-Pont, France, occupying 7,739 square feet of space, under a lease agreement that is scheduled to expire in November 2033.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Paris, Pasqal (i) leases a coworking space of 1,700 square feet under a lease agreement that is scheduled to expire on September 6, 2026 and (ii) a coworking space of approximately 2,690 square feet in Paris under a lease agreement that is scheduled to expire on August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Amsterdam, the Netherlands, Pasqal is leasing a coworking space of approximately 485 square feet under a lease agreement that is scheduled to expire on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Pasqal opened its first North American factory in Sherbrooke, in the province of Quebec, Canada, occupying an area of 10,545 square feet. This facility is the Company’s second factory worldwide after the Palaiseau site. This factory operates under a lease agreement that is scheduled to expire in February 2034.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Aeponyx subsidiary is currently leasing facilities in Montreal, Canada. The Montreal facility is 4,538 square feet and is governed by a lease agreement that is scheduled to expire in April 2027, with an option to renew for an additional 2-year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U.S., Pasqal currently leases one coworking space (one desk) in an unassigned common area in Chicago under an arrangement that is scheduled to expire in October 2026. The Company also subleases approximately 1,998 square feet of space in Chicago under a sublease agreement scheduled to expire on June 30,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Riyadh, Kingdom of Saudi Arabia, Pasqal currently leases a four-person coworking space pursuant to a lease agreement that expires on January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Korea, the Company leases an eight-person coworking space in Seoul pursuant to a lease agreement that expires in October 2026. This coworking space is currently used to host our local team. In Daejong, the Company is currently leasing 2,938 square feet in a facility with a lease ending in October 2027. This lease is primarily for interactions with the local academic ecosystem.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Pasqal may be subject to actions, claims, suits, or other legal proceedings arising in the ordinary course of business. Management believes that Pasqal is not presently a party to any such actions, claims, suits, or proceedings, the outcome of which, if determined adversely, would have a material adverse effect on the Company’s results of operations, financial condition,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2"/>
      <w:bookmarkEnd w:id="12"/>
      <w:r>
        <w:rPr>
          <w:rFonts w:ascii="Times New Roman PS Std;serif" w:hAnsi="Times New Roman PS Std;serif"/>
          <w:b/>
          <w:i w:val="false"/>
          <w:caps w:val="false"/>
          <w:smallCaps w:val="false"/>
          <w:sz w:val="20"/>
        </w:rPr>
        <w:t xml:space="preserve">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with respect to our directors and executive officers as of the date hereof. Each executive officer is appointed for such term as may be prescribed by the board of directors or until a successor has been chosen and qualified or until such officer’s death, resignation or removal. Unless otherwise indicated, the business address of all executive officers and directors is 24, rue Emile Baudot, 91120 Palaiseau, France.</w:t>
      </w:r>
    </w:p>
    <w:tbl>
      <w:tblPr>
        <w:tblW w:w="7135" w:type="dxa"/>
        <w:jc w:val="left"/>
        <w:tblInd w:w="0" w:type="dxa"/>
        <w:tblLayout w:type="fixed"/>
        <w:tblCellMar>
          <w:top w:w="0" w:type="dxa"/>
          <w:left w:w="0" w:type="dxa"/>
          <w:bottom w:w="0" w:type="dxa"/>
          <w:right w:w="0" w:type="dxa"/>
        </w:tblCellMar>
      </w:tblPr>
      <w:tblGrid>
        <w:gridCol w:w="2641"/>
        <w:gridCol w:w="146"/>
        <w:gridCol w:w="556"/>
        <w:gridCol w:w="146"/>
        <w:gridCol w:w="364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 of the Board</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Nicolas Berdou serves on our Board of Directors as the permanent representative of Bpifrance, which was designated as a director pursuant to the Business Combination Agreement. Under French law, a legal entity (personne morale) serving as a director of a société anonyme must be represented by a permanent representative (représentant permanent) who is a natural 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Wasiq Bokhari</w:t>
      </w:r>
      <w:r>
        <w:rPr>
          <w:rFonts w:ascii="Times New Roman PS Std;serif" w:hAnsi="Times New Roman PS Std;serif"/>
          <w:b w:val="false"/>
          <w:i w:val="false"/>
          <w:caps w:val="false"/>
          <w:smallCaps w:val="false"/>
          <w:sz w:val="20"/>
        </w:rPr>
        <w:t xml:space="preserve"> serves as our Chief Executive Officer and a member of our board of directors. Dr. Bokhari has served in various capacities at Legacy Pasqal including as President (Président) since March 2026, as Executive Chairman from January 2024 to March 2026 and as an advisor to the Legacy Pasqal Board and chief executive officer from September 2023 to January 2024. Dr. Bokhari also served as the Chief Technology Officer and Chief Product Officer in Residence at TONOMUS, the digital division of NEOM, from August 2023 until October 2024. Prior to that, Dr. Bokhari served as the Director and Chief Executive Officer of Strategic Initiatives at Amazon from May 2017 until June 2022, where he led a 300-person team to build and scale live-streamed marketplaces, consumer devices, and real-time machine learning solutions for video optimization, and played a pivotal role in initiating Amazon’s foray into quantum computing. Before Amazon, Dr. Bokhari served at Google, where he led moonshot initiatives in smart cities, including the creation of Sidewalk Labs. Prior to Google, Dr. Bokhari served as a partner at Draper Nexus, a venture capital firm focused on cutting-edge technology ventures, and as an Entrepreneur in Residence at New Enterprise Associates (NEA) focusing on deep technology investments. Earlier in his career, Dr. Bokhari founded a series of technology companies spanning enterprise middleware, chemical and biological threat detection sensors, inkjet-printed photodiodes for diagnostics, and a robotics-based tracking system for large scale solar projects, which was acquired by SolarCity (now Tesla). Prior to his entrepreneurial career, he was a faculty member in the department of physics at the University of Pennsylvania. Dr. Bokhari holds a Ph.D. in Physics and dual undergraduate degrees in Mathematics and Physics from the Massachusetts Institute of Technology. His Ph.D. thesis was one of the discovery modes of the top quark at Fermilab.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Loïc Henriet</w:t>
      </w:r>
      <w:r>
        <w:rPr>
          <w:rFonts w:ascii="Times New Roman PS Std;serif" w:hAnsi="Times New Roman PS Std;serif"/>
          <w:b w:val="false"/>
          <w:i w:val="false"/>
          <w:caps w:val="false"/>
          <w:smallCaps w:val="false"/>
          <w:sz w:val="20"/>
        </w:rPr>
        <w:t xml:space="preserve"> serves as our Chief Technology Officer. Dr. Henriet served as Chief Executive Officer of Legacy Pasqal until March 2026, where he was directly responsible for Legacy Pasqal’s hardware and software technological developments as well as its overall operations. As one of its earliest employees, he served as Head of Quantum Software and Applications from June 2019 to November 2021 and later served as Chief Technology Officer from November 2021 to February 2024. Dr. Henriet has also served on the board of directors of Legacy Pasqal. Dr. Henriet holds an engineering degree and a Ph.D. in theoretical quantum physics from École Polytechnique. He is also an alumnus of The Institute of Photonic Sciences.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Stéphane Rougeot</w:t>
      </w:r>
      <w:r>
        <w:rPr>
          <w:rFonts w:ascii="Times New Roman PS Std;serif" w:hAnsi="Times New Roman PS Std;serif"/>
          <w:b w:val="false"/>
          <w:i w:val="false"/>
          <w:caps w:val="false"/>
          <w:smallCaps w:val="false"/>
          <w:sz w:val="20"/>
        </w:rPr>
        <w:t xml:space="preserve"> serves as our Chief Financial Officer. Mr. Rougeot has served as Chief Financial Officer of Legacy Pasqal since June 2026. From 2024 to June 2026, Mr. Rougeot served as the founder and President of Sust.ance. From January 2022 to October 2024, Mr. Rougeot served as Deputy Chief Executive Officer and Chief Financial Officer of Deezer S.A., a global music streaming company listed on Euronext Paris. From 2016 to 2020, Mr. Rougeot served as Chief Financial Officer of Signify N.V., formerly Philips Lighting N.V., a global lighting company listed on Euronext Amsterdam, and as a member of its Board of Management. From 2008 to 2016, Mr. Rougeot held several senior executive positions at Technicolor S.A., formerly Thomson, including Chief Financial Officer, Head of Strategy and Portfolio Management and, beginning in 2015, Deputy Chief Executive Officer and President of its Technology business group. Prior to joining Technicolor, Mr. Rougeot held several senior positions at France Telecom-Orange, including Group Controller. Earlier in his career, Mr. Rougeot worked at Total and Thomson Multimedia where he led the IPO on Paris and NYSE and managed investor relations. Mr. Rougeot holds a postgraduate degree in international finance from Paris IX-Dauphine University and is a graduate of the Institut d’Études Politiques de Paris (Sciences Po).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Alain Aspect</w:t>
      </w:r>
      <w:r>
        <w:rPr>
          <w:rFonts w:ascii="Times New Roman PS Std;serif" w:hAnsi="Times New Roman PS Std;serif"/>
          <w:b w:val="false"/>
          <w:i w:val="false"/>
          <w:caps w:val="false"/>
          <w:smallCaps w:val="false"/>
          <w:sz w:val="20"/>
        </w:rPr>
        <w:t xml:space="preserve"> serves as our Non-Executive Chair. Mr. Aspect is one of the founders of Legacy Pasqal and currently serves as Chair of Legacy Pasqal’s Scientific Advisory Board, a position he has held since 2023. Mr. Aspect also served as a scientific advisor of Legacy Pasqal from 2019 to 2024. Prior to his work at Pasqal, Mr. Aspect served as a member of the board of Essilor between 2001 and 2012. Mr. Aspect is a Professor at the Institut d’Optique — Université Paris-Saclay, a professor at École Polytechnique (Institut Polytechnique de Paris) emeritus, a CNRS senior researcher emeritus, and is a member of the French Academy of Sciences and the French Academy of Technologies. Mr. Aspect is co-recipient of the 2022 Nobel Prize in Physics for his experimental work on Bell inequalities, probing the foundations of quantum physics “and pioneering quantum information science”. He is a member of several national science academies, including those of Austria, Belgium, France, the United Kingdom, and the United States. Mr. Aspect’s awards include the French National Centre for Scientific Research gold medal (2005), the Wolf Prize (2010), the Niels Bohr International Gold Medal (2013), the Albert Einstein medal (2013), the UNESCO Niels Bohr Gold Medal (2013), and the Balzan Prize for Quantum Information Processing and Communication (2013). Mr. Aspect is an alumnus of ENS Cachan and earned his Ph.D. in physics at the Institut d’Optique — Université d’Orsay (now Université Paris-Saclay).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Georges-Olivier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Reymond</w:t>
      </w:r>
      <w:r>
        <w:rPr>
          <w:rFonts w:ascii="Times New Roman PS Std;serif" w:hAnsi="Times New Roman PS Std;serif"/>
          <w:b w:val="false"/>
          <w:i w:val="false"/>
          <w:caps w:val="false"/>
          <w:smallCaps w:val="false"/>
          <w:sz w:val="20"/>
        </w:rPr>
        <w:t xml:space="preserve"> serves as a director. Mr. Reymond is one of the founders of Legacy Pasqal and has served as Legacy Pasqal’s Chief Strategic Alliances Officer since April 2025. As Chief Strategic Alliances Officer, he plays a key role in forging strategic partnerships and implementing quantum programs with major global clients. Since September 2025, Mr. Reymond has also served as a director and General Manager of Pasqal Canada Inc., and as a director of Aeponyx Enterprises Inc., both of which are subsidiaries of Legacy Pasqal. Mr. Reymond previously served as Chief Executive Officer of Legacy Pasqal from its founding in March 2019 until April 2025 and as chairman of the Legacy Pasqal Board of Directors from April 2021 until April 2025. Prior to founding Legacy Pasqal, Mr. Reymond held leadership roles in R&amp;D and project management at UnitySC and Safran, where he specialized in bringing advanced technologies from research to commercialization. Mr. Reymond holds a Ph.D. in Quantum Physics from Université Paris-Sud, where, under the supervision of Philippe Grangier, he pioneered neutral atom technology for quantum computing. In 2025, he received the Yves Rocard Award from the French Society of Physics for outstanding technology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Michel Combes </w:t>
      </w:r>
      <w:r>
        <w:rPr>
          <w:rFonts w:ascii="Times New Roman PS Std;serif" w:hAnsi="Times New Roman PS Std;serif"/>
          <w:b w:val="false"/>
          <w:i w:val="false"/>
          <w:caps w:val="false"/>
          <w:smallCaps w:val="false"/>
          <w:sz w:val="20"/>
        </w:rPr>
        <w:t>serves as a director. Since June 2022, Mr. Combes has served as Executive Chairman and Chief Executive Officer of Brightspeed, a broadband services company. Mr. Combes previously served as Chief Executive Officer and President of SoftBank Group International from June 2020 to June 2022, and President and Chief Executive Officer of Sprint (formerly NYSE: S) from January 2018 until April 2020. His prior leadership roles also include Chief Executive Officer of Altice N.V., Chief Executive Officer of Alcatel-Lucent (formerly NYSE: ALU), Chief Executive Officer of Vodafone Europe, Chairperson and Chief Executive Officer of TDF Group, and Chief Financial Officer and senior executive vice president of France Telecom. Mr. Combes has served on the board of directors of F5, Inc. (NASDAQ: FFIV), Philip Morris International Inc. (NYSE: PM), Etisalat (AED: EAND), SoFi Technologies, Inc. (NASDAQ: SOFI), WeWork Inc. (formerly NYSE: WE), and several private companies. Mr. Combes received an M.S. degree from École Polytechnique with a focus in engineering and a doctorate from Paris Dauphine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Barbara Dalibard</w:t>
      </w:r>
      <w:r>
        <w:rPr>
          <w:rFonts w:ascii="Times New Roman PS Std;serif" w:hAnsi="Times New Roman PS Std;serif"/>
          <w:b w:val="false"/>
          <w:i w:val="false"/>
          <w:caps w:val="false"/>
          <w:smallCaps w:val="false"/>
          <w:sz w:val="20"/>
        </w:rPr>
        <w:t xml:space="preserve"> serves as a director and is Chair of the nominating and corporate governance committee. From 2016 to 2021, Ms. Dalibard served as Chief Executive Officer of SITA, the world’s largest IT provider to the air transport industry, where she led innovation in global baggage, border, and aircraft systems. Prior to SITA, Ms. Dalibard served as Chief Executive Officer of SNCF Voyageurs from 2010 to 2016, managing France’s passenger rail services and launching the OUIGO low-cost train network. Earlier in her career, Ms. Dalibard held senior technology and telecommunications roles at France Télécom and Orange, including serving as CEO of Orange Business Services, where she expanded enterprise telecom and IT services across 220 countries, and as head of Alcanet International, an Alcatel subsidiary. Ms. Dalibard is the Chair of the Michelin Supervisory Board (Euronext Paris: ML) and has been a board member since 2008. She has served on the board of directors of Rexel S.A. (Euronext Paris: RXL) since 2021. She has also served as a board member of Devoteam since 2021 and ATC Europe since 2024. She also holds a seat on the Académie des Technologies. Ms. Dalibard holds dual master’s degrees from Télécom ParisTech and École Normale Supérieure and is an honorary Corps des Mines engineer. She is an Officer of the Légion d’honneur and the Ordre national du Mérite and holds an Honorary Doctorate from École Polytechnique de Montréal.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Michael Blitzer </w:t>
      </w:r>
      <w:r>
        <w:rPr>
          <w:rFonts w:ascii="Times New Roman PS Std;serif" w:hAnsi="Times New Roman PS Std;serif"/>
          <w:b w:val="false"/>
          <w:i w:val="false"/>
          <w:caps w:val="false"/>
          <w:smallCaps w:val="false"/>
          <w:sz w:val="20"/>
        </w:rPr>
        <w:t>serves as a director. Mr. Blitzer is the founder and managing partner of Inflection Point Asset Management LLC, an investment platform focused on companies operating at the intersection of national security, technology, and critical infrastructure. He has also led strategic mergers and acquisitions transactions intended to support the growth and public market development of Inflection Point portfolio companies. Mr. Blitzer served as co-CEO and director of Inflection Point Acquisition Corp. from February 2021 until the closing of its business combination with Intuitive Machines, Inc. in February 2023; Chairman and CEO of Inflection Point Acquisition Corp. II from March 2023 until the closing of its business combination with USA Rare Earth, Inc. in March 2025; Chairman and CEO of Inflection Point Acquisition Corp. III from October 2024 until the closing of its business combination with Air Water Ventures Limited in August 2026; and President, CEO, and director of Inflection Point Acquisition Corp. IV from July 2025 until the completion of its initial business combination with Merlin Labs, Inc. in March 2026. He currently sits on the board of directors and audit committee of Intuitive Machines, Inc. (Nasdaq: LUNR); is the Executive Chairman of USA Rare Earth, Inc. (Nasdaq: USAR); and serves on the board of directors and as a member of the nominating and corporate governance committee of Merlin, Inc. (Nasdaq: MRLN). Mr. Blitzer also serves as Chairman and CEO of Inflection Point Acquisition Corp. V (Nasdaq: IPEX), which announced a business combination with GOWell Technology Limited on October 14, 2025; Chairman of Inflection Point Acquisition Corp. VI (Nasdaq: IPFX), which announced a business combination with Quantum Space, LLC on June 8, 2026; Chairman of Inflection Point Acquisition Corp. VII (Nasdaq: IPXG), which announced a business combination with Elroy Air on June 26, 2026; and Inflection Point Acquisition Corp. VIII (Nasdaq: IPHX), which completed its initial public offering on August 31, 2026. Prior to founding Inflection Point, Mr. Blitzer was the Founder and Chief Executive Officer of Kingstown Capital Management, an investment management firm he founded in 2004 with author and investor Joel Greenblatt and led until 2021. He began his career at J.P. Morgan in 1999, where he advised companies on private debt and equity capital raising transactions. Mr. Blitzer has taught courses at Columbia Business School and has served on the board of the Heilbrunn Center for Investing at Columbia Business School. Mr. Blitzer holds an M.B.A. from Columbia Business School and a B.S. from Cornell University.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Andrew Gundlach </w:t>
      </w:r>
      <w:r>
        <w:rPr>
          <w:rFonts w:ascii="Times New Roman PS Std;serif" w:hAnsi="Times New Roman PS Std;serif"/>
          <w:b w:val="false"/>
          <w:i w:val="false"/>
          <w:caps w:val="false"/>
          <w:smallCaps w:val="false"/>
          <w:sz w:val="20"/>
        </w:rPr>
        <w:t xml:space="preserve">serves as a director and is Chair of the compensation committee. Mr. Gundlach is the President and Chief Executive Officer of Bleichroeder LP, a registered investment advisor focused on ultra-high-net worth families. In April 2026, Mr. Gundlach resigned from his positions as Chairman, President and Chief Executive Officer. Mr. Gundlach was subsequently appointed to serve as Executive Chairman of the Board, effective April 29, 2026. Mr. Gundlach re-created Bleichroeder with the support of First Eagle, the successor to Arnhold and S. Bleichroeder Holdings, Inc., which was renamed First Eagle Holdings in 2015 after private equity funds managed by The Blackstone Group and Corsair Capital acquired a controlling stake in the company, a transaction Mr. Gundlach initiated, negotiated and helped architect. Mr. Gundlach joined Arnhold and S. Bleichroeder Holdings, Inc. in 2006 to launch and co-run 21 April Funds Ltd., and soon thereafter served as a director to help negotiate and support the restructuring of the business via a minority investment from TA Associates. Thereafter, Mr. Gundlach continued to serve for over 15 years as a key director of this leading asset management firm in the public equity, high-yield municipal, and private credit markets with over $130 billion in assets under management. Since 2015 he has also headed Goldiron, a registered investment advisor focused on institutions and ultra-high-net-worth investors. Prior to joining Bleichroeder LP and First Eagle, Mr. Gundlach was a founding partner of Artemis Advisors, a hedge fund backed with a strategic investment from XL Capital of Bermuda, an insurance company. Mr. Gundlach co-chaired the Board of Directors of Materia, Inc. and led its sale to Exxon in December 2021, bringing Nobel Prize-winning technology with proprietary processes to commercial scale. Additionally, he was invited to invest alongside Sofina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 a public Belgian company, in their recapitalization and investment into Cambridge Associates, the preeminent advisory firm in asset allocation, manager selection and alternative investments. Mr. Gundlach is a Member of the Council on Foreign Relations, where he has served on the Investment Committee, and is an adjunct professor at Columbia Business School’s Heilbrunn Center for Graham &amp; Dodd Investing, where he teaches courses on investing, and currently serves on the School’s Board and Endowment Board. In addition, Mr. Gundlach currently serves on the Board of Directors of Welltower (NYSE: WELL), a publicly traded health care infrastructure REIT. Mr. Gundlach began his career in the Investment Banking and M&amp;A departments of Morgan Stanley and JPMorgan. He holds a BS and a Masters in International Relations and Affairs from Georgetown University, and an MBA from Columbia Business School.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Nicolas Berdou</w:t>
      </w:r>
      <w:r>
        <w:rPr>
          <w:rFonts w:ascii="Times New Roman PS Std;serif" w:hAnsi="Times New Roman PS Std;serif"/>
          <w:b w:val="false"/>
          <w:i w:val="false"/>
          <w:caps w:val="false"/>
          <w:smallCaps w:val="false"/>
          <w:sz w:val="20"/>
        </w:rPr>
        <w:t xml:space="preserve"> serves as a director, serving as the permanent representative of Bpifrance, the legal entity designated to serve as a director pursuant to the Business Combination Agreement and, following the Closing, the Bpifrance Board Representation Letter. Mr. Berdou has served as an Investment Director at Bpifrance, the French public investment bank, since November 2017, where he leads venture capital investments in technology, deep-tech and defense companies, including on behalf of the Fonds Innovation Défense and Definvest funds established with the French Ministry of the Armed Forces. Mr. Berdou has served as a director of Pasqal SAS since April 2021 and as a director of Pasqal Holding SAS since February 2026, and serves as a member of its audit committee and remuneration committee. Over the last nine years, Mr. Berdou has served as a member of the board of directors of ten companies as a representative of a French public entity, including deep-tech companies within the Bpifrance portfolio such as SiPearl, Unseenlabs, Exotrail and Cailabs. Prior to joining Bpifrance, Mr. Berdou spent the earlier part of his career at the French Direction Générale de l’Armement, where he held technical, supervisory and program management positions in aeronautical programs, including the Rafale fighter aircraft program, and he is an ingénieur en chef de l’armement. Mr. Berdou holds an engineering degree in aeronautics from the École Nationale Supérieure d’Ingénieurs de Constructions Aéronautiques (ENSICA) in Toulouse,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Jean Raby</w:t>
      </w:r>
      <w:r>
        <w:rPr>
          <w:rFonts w:ascii="Times New Roman PS Std;serif" w:hAnsi="Times New Roman PS Std;serif"/>
          <w:b w:val="false"/>
          <w:i w:val="false"/>
          <w:caps w:val="false"/>
          <w:smallCaps w:val="false"/>
          <w:sz w:val="20"/>
        </w:rPr>
        <w:t xml:space="preserve"> serves as a director as the designee of EIC Fund, and is Chair of the audit committee. Since 2022, Mr. Raby has served as a Partner and Chief Client and Business Development Officer of Astorg, a pan-European private equity firm, where he is responsible for investor relations and business development, and is a member of the Executive Committee. Prior to joining Astorg, Mr. Raby was a founding sponsor and Co-Chief Executive Officer of Odyssey Acquisition S.A., a special purpose acquisition company listed on Euronext Amsterdam, which combined with BenevolentAI in 2022. From 2017 to 2021, Mr. Raby served as Chief Executive Officer of Natixis Investment Managers and Head of Asset and Wealth Management for Natixis. From 2013 to 2016, he served as Executive Vice President and Chief Financial and Legal Officer of Alcatel-Lucent. Earlier in his career, Mr. Raby spent nearly two decades at Goldman Sachs, which he joined in 1996 in Paris, where he was named Managing Director in 2002 and Partner in 2004, later serving as Head of Investment Banking for France, Belgium and Luxembourg and, from 2011, as Co-Head of the firm’s operations in Russia. He began his career as a corporate lawyer at Sullivan &amp; Cromwell in New York and Paris. Mr. Raby has served on the board of directors of AerCap Holdings N.V. (NYSE: AER), Fiera Capital Corporation (TSX: FSZ), SNC-Lavalin Group (now AtkinsRéalis) (TSX: ATRL) and BenevolentAI. Mr. Raby, a dual Canadian and French citizen and a retired member of the New York Bar, holds a Bachelor of Laws degree from Université Laval, a Master of Philosophy in International Relations from the University of Cambridge and a Master of Laws degree from Harvard Law School.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Private Issuer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as defined by the SEC, we are permitted to follow home country corporate governance practices, instead of certain corporate governance practices required by Nasdaq for U.S. domestic issuers other than with respect to certain voting and committee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take all actions necessary for us to maintain compliance as a foreign private issuer under the applicable corporate governance requirements of the Sarbanes-Oxley Act, the rules adopted by the SEC and the Nasdaq corporate governance rules and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corporate governance practices in France, which is our home country, may differ significantly from Nasdaq corporate governance listing standards. Among other things, we are not required to have: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the board of directors consist of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compensation committee consisting of independent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nominating and governance committee consisting of independent directors;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currently have a majority independent board of directors, an independent compensation committee and an independent nominating and governance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subject to certain restrictions and oversight as a result of our relationship with the French State and our corporate governance structure. Bpifrance, the French public investment bank, is a shareholder of ours, and has representation on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the level of Pasqal SAS consisting of five members, including (i) the Chief Executive Officer of the Company, (ii) Pasqal SAS’ Président, (iii) two board members of the Company and (iv) a representative of Bpifrance, one of Legacy Pasqal’s shareholders that will remain a shareholder of the Company. The consent of the Strategic Committee will be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Pasqal,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the Company, which establishes a framework for the segregation of operations and activities within Pasqal,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seven of our nine directors are independent directors and we have an independent audit committee, compensation committee and nominating and governance committee. Alain Aspect, Michel Combes, Barbara Dalibard, Michael Blitzer, Nicolas Berdou, Andrew Gundlach and Jean Raby are “independent directors,” as defined in Nasdaq listing standards and applicable SEC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Composition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designated Class I, Class II and Class III, with members of each class serving staggered three-year terms. The Board of Directors is divided into the following classes: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 which consists of Michael Blitzer, Alain Aspect and Georges-Olivier Reymond, whose terms will expire at our first extraordinary general meeting of shareholders to be held after the consummation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 which consists of Jean Raby, Andrew Gundlach and Barbara Dalibard, whose terms will expire at our second extraordinary general meeting of shareholders to be held after the consummation of the Business Combination;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III, which consists of Dr. Wasiq Bokhari, Nicolas Berdou and Michel Combes, whose terms will expire at our third extraordinary general meeting of shareholders to be held after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extraordinary general meeting of shareholders to be held after the initial classification of the Board of Directors, the successors to the directors whose terms then expire will be elected to serve from the time of their election and qualification until the third annual general meeting of shareholders following their election and until their respective successors are duly elected and qualified. This classification of the Board of Directors may have the effect of delaying or preventing changes in control of the Company or its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 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Combes currently serves as Lead Independent Director. As Lead Independent Director, Mr. Combes has the following roles and responsibilities: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calling meetings of our independent directors as may be necessary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presiding executive sessions of our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our Chief Executive Officer and other members of senior management on business strategy and leadership development,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serving as principal liaison between our independent directors and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any significant conclusions or requests arising from the independent director sessions with our Chief Executive Officer or Chair, and otherwise communicating from time to time with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disseminating information to the rest of our board of directors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available, as appropriate, for communication with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leadership to our board of directors if circumstances arise in which the role of our Chief Executive Officer or Chair may be, or may be perceived to be, in conflict;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agendas and meeting schedules to assure that there is sufficient time for discussion of all agenda items, and information provided to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performing other duties as may be, from time to time, set forth in the Internal Regulations of the Board or requested by our board of directors to assist it in the fulfillment of its responsibilities, by individual directors, by our Chief Executive Officer or by our Chair.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leadership structure allows us to leverage the experience of our Chief Executive Officer, expertise and long-term perspective of our Chair and the independent perspective of our Lead Independent Director. We believe that this structure, combined with our strong committee system, meets the current corporate governance needs and oversight responsibilities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direct the management of our business and affairs, as provided by French law, and conduct its business through meetings of the board of directors and standing committees. We have a standing audit committee, compensation committee and nominating and governance committee, which operate under their respective written charters. Our board of directors may from time to time establish other committees.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from time to time, special committees may be established under the direction of the board of directors when the board of directors deems it necessary or advisable to address specific issues. Current copies of our committee charters are posted on our website, </w:t>
      </w:r>
      <w:r>
        <w:rPr>
          <w:rFonts w:ascii="Times New Roman PS Std;serif" w:hAnsi="Times New Roman PS Std;serif"/>
          <w:b w:val="false"/>
          <w:i/>
          <w:caps w:val="false"/>
          <w:smallCaps w:val="false"/>
          <w:sz w:val="20"/>
        </w:rPr>
        <w:t>www.pasqal.com</w:t>
      </w:r>
      <w:r>
        <w:rPr>
          <w:rFonts w:ascii="Times New Roman PS Std;serif" w:hAnsi="Times New Roman PS Std;serif"/>
          <w:b w:val="false"/>
          <w:i w:val="false"/>
          <w:caps w:val="false"/>
          <w:smallCaps w:val="false"/>
          <w:sz w:val="20"/>
        </w:rPr>
        <w:t xml:space="preserve"> as required by applicable SEC and Nasdaq rules. The information on or available through any of such website is not deemed incorporated in this prospectus and does not form part of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audit committee charter, which details the principal functions of the audit committee,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independence of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verifying the rotation of the lead (or coordinating) audit partner having primary responsibility for the audit and the audit partner responsible for reviewing the audit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inquiring and discussing with management our compliance with applicable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all audit services and permitted non-audit services to be performed by our independent registered public accounting firm, including the fees and terms of the services to be performed;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or replacing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Conduct,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currently consists of Jean Raby, Michael Blitzer and Andrew Gundlach, with Jean Raby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of directors regarding the compensation of the Company’s non-executive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Company’s non-executive directors regarding the compensation of executive officers serving on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compensation of the Company’s senior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changes to the Company’s compensation policy, which governs the compensation of non-executive directors, executive officers and senior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reporting to the board of directors, development and succession plans for the Company’s executive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equity incentive and benefit plans and human capital management function.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in accordance with applicable regulations and Nasdaq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currently consists of Andrew Gundlach, Barbara Dalibard and Jean Raby, with Andrew Gundlach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board of directors on its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 changes to the Company’s corporate governance framework and guidelines to the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environmental, social and governance policies and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currently consists of Barbara Dalibard, Michel Combes and Nicolas Berdou, with Barbara Dalibard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Code of Conduct applicable to our directors, officers and employees, including our principal executive officer, principal financial officer, principal accounting officer or controller, or persons performing similar functions. We seek to conduct business ethically, honestly and in compliance with applicable laws and regulations. Our Code of Conduct sets out the principles and policies designed to guide our business practices with integrity, respect and dedication. Such principles encompass, without limitation, conflicts of interest, corporate opportunities, confidentiality, fair dealing, the protection and proper use of company assets, compliance with laws, rules and regulations, reporting of any illegal or unethical behavior, anti-corruption compliance and public communications. Any waivers of the code for executive officers or directors may be made only by the board of directions, and will be disclosed in a manner consistent with the applicable rules or regulations of the SEC and Nasdaq, when applicable. We expect that any substantive amendments to the Code of Conduct, or any waivers of its requirements, will be disclosed in our annual report on Form 20-F. The Code of Conduct is posted on our website. The information contained on, or that can be accessed through, our website is not part of, and is not incorporated into,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executive officers currently serve, or has served during the last year, as a member of the board of directors or compensation committee of any entity, other than the Company, that has one or more executive officers who also serve as a member of our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agreements with our directors and executive officers to provide contractual indemnification.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primarily responsible for overseeing the Company’s risk management processes on behalf of the board of directors. Going forward, we expect that the audit committee will receive reports from management periodically regarding the Company’s assessment of risks. In addition, the audit committee will report regularly to the board of directors, which also considers the Company’s risk profile. The audit committee and the board of directors will focus on the most significant risks we face and our general risk management strategies. While the board of directors oversees our risk management, management is responsible for day-to-day risk management processes. The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the board of directors. We believe this division of responsibilities is the most effective approach for addressing the risks we face and that the board of directors’ leadership structure, which also emphasizes the independence of the board of directors in its oversight of its business and affairs, supports this approach.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3"/>
      <w:bookmarkEnd w:id="13"/>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purposes of this section, any reference to “Pasqal” and “Pasqal Holding” refers to Pasqal SAS and Pasqal Holding SAS, respectively, prior to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Corporate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expensed with respect to compensation paid, and benefits in kind granted, by Pasqal and its subsidiaries to the members of their respective management bodies for the year ended December 31, 2025, is described in the table below:</w:t>
      </w:r>
    </w:p>
    <w:tbl>
      <w:tblPr>
        <w:tblW w:w="4393" w:type="dxa"/>
        <w:jc w:val="left"/>
        <w:tblInd w:w="0" w:type="dxa"/>
        <w:tblLayout w:type="fixed"/>
        <w:tblCellMar>
          <w:top w:w="0" w:type="dxa"/>
          <w:left w:w="0" w:type="dxa"/>
          <w:bottom w:w="0" w:type="dxa"/>
          <w:right w:w="0" w:type="dxa"/>
        </w:tblCellMar>
      </w:tblPr>
      <w:tblGrid>
        <w:gridCol w:w="3496"/>
        <w:gridCol w:w="146"/>
        <w:gridCol w:w="751"/>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of euros)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benefits: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salaries and allowances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charges on salaries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Post-employment benefits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benefit payments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7,705</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table reflects the aggregate amount expensed with respect to historical compensation paid by Pasqal and its subsidiaries for the year ended December 31, 2025 to the corporate officers of Pasqal during fiscal year 2025, The amounts reflected in the above table include annual compensation paid to the foregoing corporate officers in all their capacities, including, in certain instances, as employees or members of management bodies of subsidiaries of Pasqal.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Wasiq Bokhari, Loïc Henriet and Georges-Olivier Reymond, whose remuneration as corporate officer and/or employees is included in the above section, Pasqal did not pay any compensation to its directors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Variable Compensation for Fiscal Year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2025, Pasqal did not provide corporate officers with quantitative variable compensation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variable compensation for the year ended December 31, 2025 is included in the table in the above section entitled “</w:t>
      </w:r>
      <w:r>
        <w:rPr>
          <w:rFonts w:ascii="Times New Roman PS Std;serif" w:hAnsi="Times New Roman PS Std;serif"/>
          <w:b w:val="false"/>
          <w:i/>
          <w:caps w:val="false"/>
          <w:smallCaps w:val="false"/>
          <w:sz w:val="20"/>
        </w:rPr>
        <w:t>Historical Corporate Officer Compensation.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Equity Incentives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directors and corporate officers held the following BSPCEs (both vested and unvested) as of December 31, 2025:</w:t>
      </w:r>
    </w:p>
    <w:tbl>
      <w:tblPr>
        <w:tblW w:w="10205" w:type="dxa"/>
        <w:jc w:val="left"/>
        <w:tblInd w:w="0" w:type="dxa"/>
        <w:tblLayout w:type="fixed"/>
        <w:tblCellMar>
          <w:top w:w="0" w:type="dxa"/>
          <w:left w:w="0" w:type="dxa"/>
          <w:bottom w:w="0" w:type="dxa"/>
          <w:right w:w="0" w:type="dxa"/>
        </w:tblCellMar>
      </w:tblPr>
      <w:tblGrid>
        <w:gridCol w:w="2071"/>
        <w:gridCol w:w="146"/>
        <w:gridCol w:w="1547"/>
        <w:gridCol w:w="146"/>
        <w:gridCol w:w="1696"/>
        <w:gridCol w:w="146"/>
        <w:gridCol w:w="1696"/>
        <w:gridCol w:w="146"/>
        <w:gridCol w:w="1426"/>
        <w:gridCol w:w="146"/>
        <w:gridCol w:w="286"/>
        <w:gridCol w:w="753"/>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07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2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286,920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r>
        <w:trPr/>
        <w:tc>
          <w:tcPr>
            <w:tcW w:w="2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7"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3" w:type="dxa"/>
            <w:tcBorders/>
          </w:tcPr>
          <w:p>
            <w:pPr>
              <w:pStyle w:val="TableContents"/>
              <w:bidi w:val="0"/>
              <w:spacing w:before="0" w:after="283"/>
              <w:jc w:val="left"/>
              <w:rPr/>
            </w:pPr>
            <w:r>
              <w:rPr/>
              <w:t> </w:t>
            </w:r>
          </w:p>
        </w:tc>
      </w:tr>
      <w:tr>
        <w:trPr/>
        <w:tc>
          <w:tcPr>
            <w:tcW w:w="2071" w:type="dxa"/>
            <w:vMerge w:val="restart"/>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vMerge w:val="restart"/>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2019</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2029</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vMerge w:val="continue"/>
            <w:tcBorders/>
            <w:shd w:fill="CCEEFF" w:val="clear"/>
          </w:tcPr>
          <w:p>
            <w:pPr>
              <w:pStyle w:val="Normal"/>
              <w:bidi w:val="0"/>
              <w:jc w:val="left"/>
              <w:rPr/>
            </w:pPr>
            <w:r>
              <w:rPr/>
            </w:r>
          </w:p>
        </w:tc>
        <w:tc>
          <w:tcPr>
            <w:tcW w:w="146" w:type="dxa"/>
            <w:vMerge w:val="continue"/>
            <w:tcBorders/>
            <w:shd w:fill="CCEEFF" w:val="clear"/>
          </w:tcPr>
          <w:p>
            <w:pPr>
              <w:pStyle w:val="Normal"/>
              <w:bidi w:val="0"/>
              <w:jc w:val="left"/>
              <w:rPr/>
            </w:pPr>
            <w:r>
              <w:rPr/>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1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138,460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elsewhere in this prospectus, BSPCEs granted before consummation of the Business Combination were assumed by the Company and grant the right to subscribe for Ordinary Shares, with the number of shares adjusted, as applicable, to reflect the Exchange Ratio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xml:space="preserve">”). Each Rollover BSPCE remains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same terms and conditions as were applicable to the BSPCEs as of immediately prior to the Business Combination (including vesting, exercise period, and expiration date), except as otherwise provided by the Business Combination Agreement or except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22 June 2026, Mr. Loïc Henriet exercised his 80,000 2019 BSPCE and received 80,000 shares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2 July 2026, Mr. Loïc Henriet contributed his 80,000 Pasqal shares to Pasqal Holding and received 80,000 shares of Pasqal Holding as remuneration of his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Wasiq Bokhari waived his 286,920 Pasqal BSPCEs and received 665,507 Pasqal Holding BSPCEs corresponding to (i) the replacement of 286,920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Loïc Henriet waived his 138,460 Pasqal BSPCEs and received 332,753 Pasqal Holding BSPCEs corresponding to (i) the replacement of 138,460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and prior to Closing, Pasqal’s directors and corporate officers held the following Pasqal Holding BSPCEs (which were exchanged against New Pasqal BSPCEs as a result of the Merger):</w:t>
      </w:r>
    </w:p>
    <w:tbl>
      <w:tblPr>
        <w:tblW w:w="9840" w:type="dxa"/>
        <w:jc w:val="left"/>
        <w:tblInd w:w="0" w:type="dxa"/>
        <w:tblLayout w:type="fixed"/>
        <w:tblCellMar>
          <w:top w:w="0" w:type="dxa"/>
          <w:left w:w="0" w:type="dxa"/>
          <w:bottom w:w="0" w:type="dxa"/>
          <w:right w:w="0" w:type="dxa"/>
        </w:tblCellMar>
      </w:tblPr>
      <w:tblGrid>
        <w:gridCol w:w="2506"/>
        <w:gridCol w:w="146"/>
        <w:gridCol w:w="1276"/>
        <w:gridCol w:w="146"/>
        <w:gridCol w:w="1276"/>
        <w:gridCol w:w="146"/>
        <w:gridCol w:w="1741"/>
        <w:gridCol w:w="146"/>
        <w:gridCol w:w="1426"/>
        <w:gridCol w:w="146"/>
        <w:gridCol w:w="343"/>
        <w:gridCol w:w="542"/>
      </w:tblGrid>
      <w:tr>
        <w:trPr/>
        <w:tc>
          <w:tcPr>
            <w:tcW w:w="2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665,507</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2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2" w:type="dxa"/>
            <w:tcBorders/>
            <w:vAlign w:val="bottom"/>
          </w:tcPr>
          <w:p>
            <w:pPr>
              <w:pStyle w:val="TableContents"/>
              <w:bidi w:val="0"/>
              <w:spacing w:before="0" w:after="283"/>
              <w:jc w:val="left"/>
              <w:rPr/>
            </w:pPr>
            <w:r>
              <w:rPr/>
              <w:t> </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332,753</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286,920 Pasqal 2025-2 BSPCE, the vesting of Pasqal Holding BSPCEs shall take into account the vested period of Pasqal 2025-2 BSPCE.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138,460 Pasqal 2025-2 BSPCE, the vesting of Pasqal Holding BSPCEs shall take into account the vested period of Pasqal 2025-2 BSPCE.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 (SARs)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2022, Pasqal has granted stock appreciation rights (the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to its employees and employees of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SARs are not shares, equity securities, or any form of ownership interest in Pasqal, and do not confer any voting rights or entitlement to dividends. Rather, the SARs constitute a contractual right under which the beneficiaries may, upon the occurrence of certain events specified in the applicable SAR agreements, be entitled to receive a payment, the amount of which is calculated by reference to the increase in value of the relevant underlying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governing the grant, vesting, and exercise of the SARs, including any triggering events, are set out in the applicable SAR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230,342 SARs remained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SAR agreement was entered into between Pasqal and Mr. Wasiq Bokhari, current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pursuant to which he was granted 20,000 SARs. The SARs were granted with a reference price of €74 per SAR for the calculation of payment upon a liquidity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 agreements were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 All SARs are subject to usual vesting periods (over 4 years) and some of them include, in addition, performance vesting.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form of SAR agreement, concluded in 2025 among Pasqal, a subsidiary of Pasqal that employs the relevant beneficiary, and the beneficiary, provides for SARs granted in tranches that are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SARs granted in tranches that are subject to performance-based vesting conditions, cancels and replaces the beneficiary’s initial SAR agreement, and provides for payment upon a liquidity event claimable against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2022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a single grant of SARs that is not subject to performance-based vesting conditions, cancels and replaces the beneficiary’s initial SAR agreement, and provides for payment upon a liquidity event claimable against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 Following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Business Combination, the policies of New Pasqal with respect to the compensation of its executive officers are administered by the Board of Directors, within the limits of any authorization granted by the general meeting of New Pasqal shareholders,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Board may utilize the services of third parties from time to time in connection with the recruiting, hiring and determination of compensation awarded to executive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 of Mr.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New Pasqal entered into a Corporate Mandate Agreement (the “</w:t>
      </w:r>
      <w:r>
        <w:rPr>
          <w:rFonts w:ascii="Times New Roman PS Std;serif" w:hAnsi="Times New Roman PS Std;serif"/>
          <w:b/>
          <w:i w:val="false"/>
          <w:caps w:val="false"/>
          <w:smallCaps w:val="false"/>
          <w:sz w:val="20"/>
        </w:rPr>
        <w:t>Bokhari Mandate Agreement</w:t>
      </w:r>
      <w:r>
        <w:rPr>
          <w:rFonts w:ascii="Times New Roman PS Std;serif" w:hAnsi="Times New Roman PS Std;serif"/>
          <w:b w:val="false"/>
          <w:i w:val="false"/>
          <w:caps w:val="false"/>
          <w:smallCaps w:val="false"/>
          <w:sz w:val="20"/>
        </w:rPr>
        <w:t>”) with Mr. Wasiq Bokhari governing the terms and conditions of his appointment as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In consideration for the performance of his duties, Mr. Bokhari will receive an annual gross salary of EUR 414,000, payable in twelve equal monthly installments of EUR 34,500. Professional expenses incurred in New Pasqal’s interest are reimbursed upon presentation of supporting documents, in accordance with applicable Company policies. In addition, (i) New Pasqal makes available to Mr. Bokhari a flat in Paris whose monthly rent amounts to EUR 6,950 and (ii) Pasqal Inc. makes available to Mr. Bokhari a flat in New York whose monthly rent amounts to USD 18,000. The Bokhari Mandate Agreement may be terminated under certain circumstances, including, by mutual agreement, for just cause by decision of the shareholders, by resignation of the CEO (subject to a six-month notice period, which may be reduced upon certain conditions) or upon the CEO’s death, incapacity for work or major disability. The Bokhari Mandate Agreement also contains a non-competition undertaking applicable, for a period of twenty-four (24) months following the end of the mandate, in the European Union, Canada and the United States, in consideration for which Mr. Bokhari is entitled to a monthly indemnity equal to 50% of his last fixed monthly remuneration throughout that twenty-four (24)-month period, which New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Agreement/employment agreement of Mr. Loïc Henriet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Pasqal entered into a Corporate Mandate Agreement (the “</w:t>
      </w:r>
      <w:r>
        <w:rPr>
          <w:rFonts w:ascii="Times New Roman PS Std;serif" w:hAnsi="Times New Roman PS Std;serif"/>
          <w:b/>
          <w:i w:val="false"/>
          <w:caps w:val="false"/>
          <w:smallCaps w:val="false"/>
          <w:sz w:val="20"/>
        </w:rPr>
        <w:t>Henriet Mandate Agreement</w:t>
      </w:r>
      <w:r>
        <w:rPr>
          <w:rFonts w:ascii="Times New Roman PS Std;serif" w:hAnsi="Times New Roman PS Std;serif"/>
          <w:b w:val="false"/>
          <w:i w:val="false"/>
          <w:caps w:val="false"/>
          <w:smallCaps w:val="false"/>
          <w:sz w:val="20"/>
        </w:rPr>
        <w:t xml:space="preserve">”) with Mr. Loïc Henriet governing the terms and conditions of his appointment as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of Pasqal. In consideration for the performance of his duties, Mr. Loïc Henriet will receive an annual gross salary of EUR 264,500, payable in twelve equal monthly installments of EUR 22,041.66. Professional expenses incurred in Pasqal’s interest are reimbursed upon presentation of supporting documents, in accordance with applicable Pasqal policies. The Henriet Mandate Agreement may be terminated under certain circumstances, including, by mutual agreement, for just cause by decision of the shareholder of Pasqal, by resignation of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(subject to a six-month notice period,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may be reduced upon certain conditions) or upon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’s death, incapacity for work or major disability. The Henriet Mandate Agreement also contains a non-competition undertaking applicable, for a period of twenty-four (24) months following the end of the mandate, in the European Union, Canada and the United States, in consideration for which Mr. Loïc Henriet is entitled to a monthly indemnity equal to 50% of his last fixed monthly remuneration throughout that twenty-four (24)-month period, which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may also enter into other corporate officer agreements with its other corporate officers. There are at this time no assurances that any such agreements with New Pasqal will be executed, and if so, what the terms and conditions of any such agreements would be.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Bleichroeder approved the adoption of the following equity incentive plans and a delegation of authority to issue warrants: (i) the 2026 Restricted Stock Units Plan (the “</w:t>
      </w:r>
      <w:r>
        <w:rPr>
          <w:rFonts w:ascii="Times New Roman PS Std;serif" w:hAnsi="Times New Roman PS Std;serif"/>
          <w:b/>
          <w:i w:val="false"/>
          <w:caps w:val="false"/>
          <w:smallCaps w:val="false"/>
          <w:sz w:val="20"/>
        </w:rPr>
        <w:t>RSU Incentive Plan</w:t>
      </w:r>
      <w:r>
        <w:rPr>
          <w:rFonts w:ascii="Times New Roman PS Std;serif" w:hAnsi="Times New Roman PS Std;serif"/>
          <w:b w:val="false"/>
          <w:i w:val="false"/>
          <w:caps w:val="false"/>
          <w:smallCaps w:val="false"/>
          <w:sz w:val="20"/>
        </w:rPr>
        <w:t>”), (ii) the 2026 Founder Share Subscription Warrants (BSPCE) program (the “</w:t>
      </w:r>
      <w:r>
        <w:rPr>
          <w:rFonts w:ascii="Times New Roman PS Std;serif" w:hAnsi="Times New Roman PS Std;serif"/>
          <w:b/>
          <w:i w:val="false"/>
          <w:caps w:val="false"/>
          <w:smallCaps w:val="false"/>
          <w:sz w:val="20"/>
        </w:rPr>
        <w:t>BSPCE Incentive Plan</w:t>
      </w:r>
      <w:r>
        <w:rPr>
          <w:rFonts w:ascii="Times New Roman PS Std;serif" w:hAnsi="Times New Roman PS Std;serif"/>
          <w:b w:val="false"/>
          <w:i w:val="false"/>
          <w:caps w:val="false"/>
          <w:smallCaps w:val="false"/>
          <w:sz w:val="20"/>
        </w:rPr>
        <w:t>”), (iii) the 2026 Stock Option Program (the “</w:t>
      </w:r>
      <w:r>
        <w:rPr>
          <w:rFonts w:ascii="Times New Roman PS Std;serif" w:hAnsi="Times New Roman PS Std;serif"/>
          <w:b/>
          <w:i w:val="false"/>
          <w:caps w:val="false"/>
          <w:smallCaps w:val="false"/>
          <w:sz w:val="20"/>
        </w:rPr>
        <w:t>Stock Option Incentive Plan</w:t>
      </w:r>
      <w:r>
        <w:rPr>
          <w:rFonts w:ascii="Times New Roman PS Std;serif" w:hAnsi="Times New Roman PS Std;serif"/>
          <w:b w:val="false"/>
          <w:i w:val="false"/>
          <w:caps w:val="false"/>
          <w:smallCaps w:val="false"/>
          <w:sz w:val="20"/>
        </w:rPr>
        <w:t>,” and together with the RSU Incentive Plan and the BSPCE Incentive Plan, the “</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and (iv) a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in accordance with Article L.228-91 et seq. of the French Commercial Code (the “</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with the terms and conditions of Warrants to be decided by the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Plans are intended to replace, with respect to future awards, the legacy BSPCE program established by Legacy Pasqal (the “</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The Legacy Equity Program consisted of several tranches of BSPCEs granted to employees, corporate officers and directors of Legacy Pasqal between 2019 and 2025 pursuant to Article 163 bis G of the French Tax Code, as well as SARs granted to non-French employees beginning in 2022, and stock options granted in connection with the acquisition of Aeponyx in 2024. BSPCEs entitle their holders to subscribe for newly issued shares at an exercise price fixed on the date of grant. SARs are cash-settled contractual rights that do not confer any equity ownership, voting rights or entitlement to dividends. Following the Closing, no additional equity awards will be granted under the 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each Rollover BSPCE was assumed by New Pasqal and grants the right to subscribe for Ordinary Shares, with the number of shares adjusted to reflect the Exchange Ratio. Each Rollover BSPCE remains subject to the same terms and conditions as were applicable to the corresponding BSPCE as of immediately prior to the effective time of the Merger (including vesting, exercise period and expiration date), except as otherwise provided by the French Merger Agreement or as required by applicable law. All outstanding equity awards granted under the Legacy Equity Program immediately prior to the Closing will continue to be settled by New Pasqal and remain subject to the terms and conditions as set forth in the agreements evidencing such equity awards and the terms of the Legacy Equity Program (in each case as may be amended from time to time in accordance with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RSU Incentive Plan and the material terms thereunder. The RSU Incentive Plan became effective as of the Closing Date. The purpose of the RSU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RSU Incentive Plan. It is essential to New Pasqal’s long-term success that the interests of corporate officers and employees be tied to their success as “owners” of the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RSU Incentive Plan. The summary is qualified in its entirety by reference to the full text of the RSU Incentive Plan, a copy of which is filed as Exhibit 10.12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intended to motivate and associate certain corporate officers and employees of New Pasqal, as well as its eligible subsidiaries within the meaning of Article L. 225-197-2 of the French Commercial Code (the “</w:t>
      </w:r>
      <w:r>
        <w:rPr>
          <w:rFonts w:ascii="Times New Roman PS Std;serif" w:hAnsi="Times New Roman PS Std;serif"/>
          <w:b/>
          <w:i w:val="false"/>
          <w:caps w:val="false"/>
          <w:smallCaps w:val="false"/>
          <w:sz w:val="20"/>
        </w:rPr>
        <w:t>New Pasqal Group</w:t>
      </w:r>
      <w:r>
        <w:rPr>
          <w:rFonts w:ascii="Times New Roman PS Std;serif" w:hAnsi="Times New Roman PS Std;serif"/>
          <w:b w:val="false"/>
          <w:i w:val="false"/>
          <w:caps w:val="false"/>
          <w:smallCaps w:val="false"/>
          <w:sz w:val="20"/>
        </w:rPr>
        <w:t>”)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permits the grant of free shares (actions gratuites) granted in accordance with Article L. 225-197-1 of the French Commercial Code (“</w:t>
      </w:r>
      <w:r>
        <w:rPr>
          <w:rFonts w:ascii="Times New Roman PS Std;serif" w:hAnsi="Times New Roman PS Std;serif"/>
          <w:b/>
          <w:i w:val="false"/>
          <w:caps w:val="false"/>
          <w:smallCaps w:val="false"/>
          <w:sz w:val="20"/>
        </w:rPr>
        <w:t>RSUs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RSU Incentive Plan, the maximum number of Ordinary Shares available for grant under the RSU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225-197-1 et seq. of the French Commercial Code, the RSU Incentive Plan and applicable shareholder authorizations, the Board (the “</w:t>
      </w:r>
      <w:r>
        <w:rPr>
          <w:rFonts w:ascii="Times New Roman PS Std;serif" w:hAnsi="Times New Roman PS Std;serif"/>
          <w:b/>
          <w:i w:val="false"/>
          <w:caps w:val="false"/>
          <w:smallCaps w:val="false"/>
          <w:sz w:val="20"/>
        </w:rPr>
        <w:t>RSU Incentive Plan Administrator</w:t>
      </w:r>
      <w:r>
        <w:rPr>
          <w:rFonts w:ascii="Times New Roman PS Std;serif" w:hAnsi="Times New Roman PS Std;serif"/>
          <w:b w:val="false"/>
          <w:i w:val="false"/>
          <w:caps w:val="false"/>
          <w:smallCaps w:val="false"/>
          <w:sz w:val="20"/>
        </w:rPr>
        <w:t>”) may decide to grant RSUs to any corporate officer or employee of New Pasqal or of one of the New Pasqal Group companies referred to in Article L. 225-197-1 et seq. of the French Commercial Code, as the case may be, that the RSU Incentive Plan Administrator designates. No RSUs may be granted to an eligible participant if such eligible participant already owns more than 10% of New Pasqal’s share capital or if the grant would allow such eligible participant to own more than 10% of New Pasqal’s share capital in accordance with Article L. 225-197-1 of the French Commercial Code (excluding for purposes of this calculation, shares of New Pasqal held by the concerned beneficiary for more than seven (7) years).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administered by the RSU Incentive Plan Administrator. The RSU Incentive Plan Administrator defines the terms of the grant and vesting of RSUs granted under the RSU Incentive Plan. The RSU Incentive Plan Administrator also has the discretionary power to analyze and interpret the terms of the 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RSU will be settled in Ordinary Shares after vesting, subject to the terms of the RSU Incentive Plan. The grant of the RSUs will be evidenced by a notice of grant issued by New Pasqal that includes the number of granted RSUs, the grant date, the vesting dates, the duration of the applicable holding period and any obligation binding on a participant.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RSU Incentive Plan, on each of the anniversary dates referred to below (the “</w:t>
      </w:r>
      <w:r>
        <w:rPr>
          <w:rFonts w:ascii="Times New Roman PS Std;serif" w:hAnsi="Times New Roman PS Std;serif"/>
          <w:b/>
          <w:i w:val="false"/>
          <w:caps w:val="false"/>
          <w:smallCaps w:val="false"/>
          <w:sz w:val="20"/>
        </w:rPr>
        <w:t>Anniversary Dates</w:t>
      </w:r>
      <w:r>
        <w:rPr>
          <w:rFonts w:ascii="Times New Roman PS Std;serif" w:hAnsi="Times New Roman PS Std;serif"/>
          <w:b w:val="false"/>
          <w:i w:val="false"/>
          <w:caps w:val="false"/>
          <w:smallCaps w:val="false"/>
          <w:sz w:val="20"/>
        </w:rPr>
        <w:t xml:space="preserve">”), subject to having remained an eligible participant until the relevant Anniversary Date, a participant will have acquired an irrevocable right to receive a percentage of the number of Ordinary Shares set out in the notice of grant, as follows (unless a different vesting schedule is set forth in the applicable notice of grant): (i) 1st anniversary of the grant date: 25% of the RSUs (subject to the applicable holding period); (ii) 2nd anniversary of the grant date: 25% of the RSUs (not subject to any holding period); (iii) 3rd anniversary of the grant date: 25% of the RSUs (not subject to any holding period); and (iv) 4th anniversary of the grant date: 25% of the RSUs (not subject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holding period). Vested Ordinary Shares underlying RSUs will be delivered to the participant as soon as possible following the applicable Anniversary Dates. The vesting period is at least one (1) year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RSU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vesting of RSUs will fully accelerate in the event of disability or death; provided that, in the case of death, the participant’s heirs must request the delivery of the Ordinary Shares within six months of the date of the death (after which the RSUs will become null and void). In the case of disability or death, the Ordinary Shares subject to the RSUs will be delivered in advance, even if the event occurs before the 1st anniversary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all or part of the RSUs granted to a participant may be definitively vested in advance, regardless of any continued service condition, in the event of an express decision to that effect by the RSU Incentive Plan Administrator upon the occurrence of any of the following transactions: (i) sale of ninety-five percent (95%) of the shares of New Pasqal before the last Anniversary Date; (ii) merger by absorption of New Pasqal before the last Anniversary Date at the end of which the shareholders who held control of New Pasqal immediately before the completion of the merger will not hold control of the company benefiting from the merger; (iii) transfer or any other form of assignment before the last Anniversary Date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last Anniversary Date to a third party not controlled, directly or indirectly, by New Pasqal or by the shareholders controlling it, it being provided that, for French participants, the Ordinary Shares underlying any RSUs accelerated pursuant to the foregoing may not be delivered before the first anniversary of the date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 and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are granted to participants personally, and the rights attached to the RSUs may not be transferred (except in case of death of the participant as provided under the RSU Incentive Plan) or subject to any security interest in any way whatsoever before the applicable vesting date. The Ordinary Shares acquired upon settlement of RSUs cannot be transferred or be subject to any security interest during the applicable holding period. The combined duration of the vesting period and the holding period must be at least equal to two (2) years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to whom RSUs have been definitively granted in that capacity are required to retain 1% of such RSUs, as from their vesting date and until the termination of their position as corporate officer, in accordance with the terms of Article L. 225-197-1 II of the French Commercial Code, unless a different retention requirement is specified in the applicable notice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during the vesting period of an RSU grant, New Pasqal is merged or split, a participant will, on the applicable vesting date,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RSUs occurring during the vesting period and resulting in a modification of the value or number of RSUs initially awarded, the RSU Incentive Plan Administrator, if it deems appropriate, may take all measures to protect the interests and rights of the participants.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Administrator may grant RSUs under the RSU Incentive Plan during thirty-eight (38) months measured from the shareholder approval date. The RSU Incentive Plan Administrator may at any time make any necessary amendments to the RSU Incentive Plan more favorable to one or more participants which may be necessary, in particular to enable one or more participants or New Pasqal or a New Pasqal Group company to benefit from the preferential tax and/or social security regime applicable in France or in any other countries where the RSU Incentive Plan may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BSPCE Incentive Plan and the material terms thereunder. The BSPCE Incentive Plan became effective as of the Closing Date. The purpose of the BSPCE Incentive Plan is to provide a means whereby New Pasqal can attract new talents and secure and retain the services of existing corporate officers, employees and directors,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BSPCE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BSPCE Incentive Plan. The summary is qualified in its entirety by reference to the full text of the BSPCE Incentive Plan, a copy of which is filed as Exhibit 10.13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intended to motivate and associate certain corporate officers, employees and directors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permits the grant of BSPCEs. BSPCEs entitle their holders to subscribe for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BSPCE Incentive Plan, the maximum number of Ordinary Shares available for grant under the BSPCE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 The Ordinary Shares resulting from the exercise of BSPCEs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 163 bis G of the French Tax Code, BSPCEs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and directors eligible for a BSPCE award are (i)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and (ii) Board members (</w:t>
      </w:r>
      <w:r>
        <w:rPr>
          <w:rFonts w:ascii="Times New Roman PS Std;serif" w:hAnsi="Times New Roman PS Std;serif"/>
          <w:b w:val="false"/>
          <w:i/>
          <w:caps w:val="false"/>
          <w:smallCaps w:val="false"/>
          <w:sz w:val="20"/>
        </w:rPr>
        <w:t>administrateurs</w:t>
      </w:r>
      <w:r>
        <w:rPr>
          <w:rFonts w:ascii="Times New Roman PS Std;serif" w:hAnsi="Times New Roman PS Std;serif"/>
          <w:b w:val="false"/>
          <w:i w:val="false"/>
          <w:caps w:val="false"/>
          <w:smallCaps w:val="false"/>
          <w:sz w:val="20"/>
        </w:rPr>
        <w:t>). BSPCEs may also be granted to employees and directors of companies in which New Pasqal holds, directly or indirectly, at least seventy-five percent (75%) of the share capital or of the voting rights, provided such affiliate satisfies the eligibility conditions under Article 163 bis G of the French Tax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BSPCE Incentive Plan Administrator</w:t>
      </w:r>
      <w:r>
        <w:rPr>
          <w:rFonts w:ascii="Times New Roman PS Std;serif" w:hAnsi="Times New Roman PS Std;serif"/>
          <w:b w:val="false"/>
          <w:i w:val="false"/>
          <w:caps w:val="false"/>
          <w:smallCaps w:val="false"/>
          <w:sz w:val="20"/>
        </w:rPr>
        <w:t>”). The BSPCE Incentive Plan Administrator has the discretionary power to analyze and interpret the terms of the 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BSPCE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BSPCEs will become vested and exercisable with respect to a percentage of the number of BSPCEs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BSPCEs; (ii) 2nd anniversary of the vesting start date: 25% of the BSPCEs; (iii) 3rd anniversary of the vesting start date: 25% of the BSPCEs; and (iv) 4th anniversary of the vesting start date: the balance of the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BSPCE is at least equal to the fair market value of an Ordinary Share at the date of grant. The BSPCEs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BSPCE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 part of the BSPCEs granted to a participant may be definitively vested and exercisable in advance, regardless of any continued service condition, in the event of an express decision to that effect by the BSPCE Incentive Plan Administrator upon the occurrence of any of the following transactions: (i) sale of ninety-five percent (95%) of the shares of New Pasqal before the exercise of the BSPCEs; (ii) merger by absorption of New Pasqal before the exercise of the BSPCEs at the end of which the shareholders who held control of New Pasqal immediately before the completion of the merger will not hold control of the company benefiting from the merger; (iii) transfer or any other form of assignment before the exercise of the BSPCEs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exercise of the BSPCEs to a third party not controlled, directly or indirectly, by New Pasqal or by the shareholders controlling it. A participant must exercise all of such participant’s exercisable BSPCEs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BSPCEs are intuitu personae instruments. They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BSPCE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BSPCEs (or, if earlier, until the expiration of the term of the BSPCEs), and in the absence of exercise during such period, the BSPCEs shall automatically become null and void by operation of law. Any BSPCEs that are not exercisable as of the departure notification date or death, as applicable, will be automatically null and void.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BSPCE grant, New Pasqal is merged or split, a participant will, upon exercise of the BSPCEs,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BSPCEs occurring prior to the exercise of a BSPCE grant and resulting in a modification of the value or number of BSPCEs initially awarded, the BSPCE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Administrator may grant BSPCEs under the BSPCE Incentive Plan for eighteen (18) months measured from the shareholder approval date, subject to the conditions set out in Article 163 bis G of the French Tax Code. The BSPCE Incentive Plan Administrator may at any time make any amendments to the BSPCE Incentive Plan that are more favorable to one or more participants and that may be necessary, in particular, to enable one or more participants, New Pasqal or any New Pasqal Group company to benefit from a preferential tax and/or social security regime applicable in France or in any other jurisdiction in which the BSPCE Incentive Plan may apply. Any amendment to an individual BSPCE award agreement or grant notice that would adversely affect the rights or obligations of the applicable participant may only be made by mutual agreement between the BSPCE Incentive Plan Administrator and such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Stock Option Incentive Plan and the material terms thereunder. The Stock Option Incentive Plan became effective as of the Closing Date. The purpose of the Stock Option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Stock Option Incentive Plan. The summary is qualified in its entirety by reference to the full text of the Stock Option Incentive Plan, a copy of which is filed as Exhibit 10.14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intended to motivate and associate certain corporate officers and employees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permits the grant of stock options in accordance with Articles L. 225-177 et seq. of the French Commercial Code (“</w:t>
      </w:r>
      <w:r>
        <w:rPr>
          <w:rFonts w:ascii="Times New Roman PS Std;serif" w:hAnsi="Times New Roman PS Std;serif"/>
          <w:b/>
          <w:i w:val="false"/>
          <w:caps w:val="false"/>
          <w:smallCaps w:val="false"/>
          <w:sz w:val="20"/>
        </w:rPr>
        <w:t>Stock Options</w:t>
      </w:r>
      <w:r>
        <w:rPr>
          <w:rFonts w:ascii="Times New Roman PS Std;serif" w:hAnsi="Times New Roman PS Std;serif"/>
          <w:b w:val="false"/>
          <w:i w:val="false"/>
          <w:caps w:val="false"/>
          <w:smallCaps w:val="false"/>
          <w:sz w:val="20"/>
        </w:rPr>
        <w:t>”). Stock Options entitle their holders to subscribe for or purchase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adjustments as set forth in the Stock Option Incentive Plan, the maximum number of Ordinary Shares available for grant under the Stock Option Incentive Plan is equal to ten percent (10%) of the fully diluted, and as converted, outstanding Ordinary Shares immediately following the Closing, it being specified that this 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 (10%) limitation is a global limitation shared across the RSU Incentive Plan, the BSPCE Incentive Plan, the Stock Option Incentive Plan, the Warrant Delegation and any equivalent equity incentive instruments under local laws. The Ordinary Shares resulting from the exercise of Stock Options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225-177 et seq. of the French Commercial Code, Stock Options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eligible for a Stock Option award are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Subject to the provisions of Articles L. 225-180 and L. 225-185 of the French Commercial Code, Stock Options may also be granted to employees and corporate officers of companies in which New Pasqal holds, directly or indirectly, at least ten percent (10%) of the share capital or of the voting rights.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Stock Option Incentive Plan Administrator</w:t>
      </w:r>
      <w:r>
        <w:rPr>
          <w:rFonts w:ascii="Times New Roman PS Std;serif" w:hAnsi="Times New Roman PS Std;serif"/>
          <w:b w:val="false"/>
          <w:i w:val="false"/>
          <w:caps w:val="false"/>
          <w:smallCaps w:val="false"/>
          <w:sz w:val="20"/>
        </w:rPr>
        <w:t>”). The Stock Option Incentive Plan Administrator has the discretionary power to analyze and interpret the terms of the 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Stock Option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Stock Options will become vested and exercisable with respect to a percentage of the number of Stock Options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Stock Options; (ii) 2nd anniversary of the vesting start date: 25% of the Stock Options; (iii) 3rd anniversary of the vesting start date: 25% of the Stock Options; and (iv) 4th anniversary of the vesting start date: the balance of the 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Stock Option is at least equal to the fair market value of an Ordinary Share at the date of grant. The Stock Options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Stock Option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or part of the Stock Options granted to a participant may be definitively vested and exercisable in advance, regardless of any continued service condition, in the event of an express decision to that effect by the Stock Option Incentive Plan Administrator upon the occurrence of any of the following transactions: (i) sale of ninety-five percent (95%) of the shares of New Pasqal before the exercise of the Stock Options; (ii) merger by absorption of New Pasqal before the exercise of the Stock Options at the end of which the shareholders who held control of New Pasqal immediately before the completion of the merger will not hold control of the company benefiting from the merger; (iii) transfer or any other form of assignment before the exercise of the Stock Options by one or more shareholders of New Pasqal to any person of a number of shares having the effect of conferring on such person more than fifty percent (50%) of the share capital and voting rights of New Pasqal; or (iv) sale of all or substantially all of the assets of New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before the exercise of the Stock Options to a third party not controlled, directly or indirectly, by New Pasqal or by the shareholders controlling it. A participant must exercise all of such participant’s exercisable Stock Options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Stock Option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Stock Options (or, if earlier, until the expiration of the term of the Stock Options), and in the absence of exercise during such period, the Stock Options shall automatically become null and void by operation of law. Any Stock Options that are not exercisable as of the departure notification date or death, as applicable, will be automatically null and void.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Holding Period for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Article L. 225-185 of the French Commercial Code, the Stock Option Incentive Plan Administrator shall indicate in the applicable notice of grant for corporate officers to whom Stock Options have been granted in such capacity whether the Stock Options may not be exercised by such participant prior to the termination of their duties, or shall determine the number of Ordinary Shares resulting from exercise of the Stock Options that they are required to retain in registered form until the termination of their duties. In the absence of any mention in the applicable notice of grant, in case of exercise of the Stock Options, corporate officers will be required to retain a number of Ordinary Shares equal to 1% of the granted Stock Options, until the termination of their duties as corporate officer.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Stock Option grant, New Pasqal is merged or split, a participant will, upon exercise of the Stock Options,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occurring prior to the exercise of a Stock Option grant and resulting in a modification of the value or number of Stock Options initially awarded, the Stock Option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Administrator may grant Stock Options under the Stock Option Incentive Plan for thirty-eight (38) months measured from the shareholder approval date. A Stock Option agreement may only be modified by mutual agreement between the Stock Option Incentive Plan Administrator and the applicable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Delegation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Warrant Delegation is to provide a means by which warrants can be granted to certain persons, including consultants or advisors of New Pasqal, who are not otherwise eligible for grants under the RSU Incentive Plan, the BSPCE Incentive Plan or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Warrant Delegation, the maximum number of Ordinary Shares available for grant under the Warrant Delegation is equal to ten percent (10%) of the fully diluted,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Delegation permits the grant of warrants (bons de souscription d’actions) granted in accordance with article L.228-91 et seq. of the French Commercial Code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do not benefit from any specific favorable tax and social security contributions regime under French law. Beneficiaries are urged to consult their own tax and social security contributions advisors. It should be noted that the Finance Act for 2025 introduced a new regime applicable to management packages, which is not detailed in the present document. In principle, this regime may, subject to certain conditions, apply to gains relating to the Warrants, including upon the disposal of the shares acquired through the exercise of the Warrants. Accordingly, its application should be assessed on a case-by-case basis. This new regime may also have tax and social security implications for both the beneficiary and the employer.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applicable to the Warrants, granted under the Warrant Delegation, will be decided and approved by New Pasqal’s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in accordance with the Warrant Delegation.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14"/>
      <w:bookmarkEnd w:id="14"/>
      <w:r>
        <w:rPr>
          <w:rFonts w:ascii="Times New Roman PS Std;serif" w:hAnsi="Times New Roman PS Std;serif"/>
          <w:b/>
          <w:i w:val="false"/>
          <w:caps w:val="false"/>
          <w:smallCaps w:val="false"/>
          <w:sz w:val="20"/>
        </w:rPr>
        <w:t xml:space="preserve">CERTAIN RELATIONSHIPS AND RELATED PERSON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amended and restated registration rights agreement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which amended and restated the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Registration Rights Agreement provides for, among other things,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Shelf registration rights</w:t>
      </w:r>
      <w:r>
        <w:rPr>
          <w:rFonts w:ascii="Times New Roman PS Std;serif" w:hAnsi="Times New Roman PS Std;serif"/>
          <w:b w:val="false"/>
          <w:i w:val="false"/>
          <w:caps w:val="false"/>
          <w:smallCaps w:val="false"/>
          <w:sz w:val="20"/>
        </w:rPr>
        <w:t>:    No later than thirty (30) business days following the Closing, New Pasqal will file a Resale Shelf Registration Statement registering all of the Registrable Securities (as defined in the A&amp;R Registration Rights Agreement). New Pasqal will use commercially reasonable efforts to cause the Resale Shelf Registration Statement to be declared effective as soon as practicable after filing thereof, but in no event later than the earlier of (i) the 90th calendar day (or the 120th calendar day if the SEC notifies New Pasqal that it will “review” the Resale Shelf Registration Statement) after the Closing Date and (ii) the tenth (10th) Business Day (as defined in the A&amp;R Registration Rights Agreement) after the date New Pasqal is notified (orally or in writing, whichever is earlier) by the SEC that such Shelf Registration Statement will not be “reviewed” or will not be subject to further review. Subject to certain customary exceptions, at any time and from time to time, holders with registration rights having a reasonably anticipated gross aggregate offering price of at least $25,000,000 of the then-outstanding Registrable Securities may make a written demand for underwritten and other shelf take-downs.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Demand registration rights</w:t>
      </w:r>
      <w:r>
        <w:rPr>
          <w:rFonts w:ascii="Times New Roman PS Std;serif" w:hAnsi="Times New Roman PS Std;serif"/>
          <w:b w:val="false"/>
          <w:i w:val="false"/>
          <w:caps w:val="false"/>
          <w:smallCaps w:val="false"/>
          <w:sz w:val="20"/>
        </w:rPr>
        <w:t>:    At any time and from time to time, holders with registration rights having a reasonably anticipated gross aggregate offering price of at least $25,000,000 of the then-outstanding Registrable Securities may make a written demand for registration of all or part of their Registrable Securities, provided that, among certain other limitations, the securities of such RRA Parties are not subject to lock up and no resale shelf registration statement for such securities is then effective. Upon receipt of such demand, New Pasqal will be required to file a registration statement covering all or any portion of the RRA Parties’ Registrable Securities (as defined therein) requested to be included, including, under certain circumstances, the offering of such Registrable Securities (as defined therein) in the form of an underwritten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caps w:val="false"/>
          <w:smallCaps w:val="false"/>
          <w:u w:val="single"/>
        </w:rPr>
        <w:t>“</w:t>
      </w:r>
      <w:r>
        <w:rPr>
          <w:rFonts w:ascii="Times New Roman PS Std;serif" w:hAnsi="Times New Roman PS Std;serif"/>
          <w:b w:val="false"/>
          <w:i w:val="false"/>
          <w:caps w:val="false"/>
          <w:smallCaps w:val="false"/>
          <w:sz w:val="20"/>
          <w:u w:val="single"/>
        </w:rPr>
        <w:t>Piggy-back” registration rights</w:t>
      </w:r>
      <w:r>
        <w:rPr>
          <w:rFonts w:ascii="Times New Roman PS Std;serif" w:hAnsi="Times New Roman PS Std;serif"/>
          <w:b w:val="false"/>
          <w:i w:val="false"/>
          <w:caps w:val="false"/>
          <w:smallCaps w:val="false"/>
          <w:sz w:val="20"/>
        </w:rPr>
        <w:t>:    Pursuant to the Securities Act and subject to certain customary exceptions (including underwriter cutbacks), at any time after the Closing, if New Pasqal proposes to file a registration statement with respect to an offering of its equity securities, or securities or other obligations exercisable or exchangeable for, or convertible into, equity securities, for New Pasqal’s own account or for the account of the shareholders of New Pasqal, then New Pasqal will (i) notify the holders of Registrable Securities of such offering as soon as possible but not less than ten (10) days before the anticipated filing of such registration statement, and (ii) offer such holders the opportunity to include in such registration statement (including any underwritten offering) register the sale of such number of Registrable Securities that such holders may request in writing within five (5) days following receipt of notice from New Pasqal.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Expenses and indemnification</w:t>
      </w:r>
      <w:r>
        <w:rPr>
          <w:rFonts w:ascii="Times New Roman PS Std;serif" w:hAnsi="Times New Roman PS Std;serif"/>
          <w:b w:val="false"/>
          <w:i w:val="false"/>
          <w:caps w:val="false"/>
          <w:smallCaps w:val="false"/>
          <w:sz w:val="20"/>
        </w:rPr>
        <w:t>:    All fees, costs and expenses of registrations and transfers will be borne by New Pasqal in accordance with the A&amp;R Registration Rights Agreement and underwriting discounts and selling commissions and certain other fees attributable to the Registrable Securities will be borne by the holders selling or transferring such Registrable Securities. The reasonable and documented fees and out-of-pocket expenses of one counsel for all of the holders participating in an underwritten offering shall be reimbursed by New Pasqal, provided that such reimbursable fees and expenses of counsel shall not exceed $50,000 per registration. The A&amp;R Registration Rights Agreement will contain customary cross-indemnification provisions, under which New Pasqal is obligated to indemnify holders of Registrable Securities (as defined therein) in the event of material misstatements or omissions in the applicable registration statement attributable to New Pasqal, and holders of Registrable Securities are obligated to indemnify New Pasqal for material misstatements or omissions attributable to them.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Registrable Securities and Term</w:t>
      </w:r>
      <w:r>
        <w:rPr>
          <w:rFonts w:ascii="Times New Roman PS Std;serif" w:hAnsi="Times New Roman PS Std;serif"/>
          <w:b w:val="false"/>
          <w:i w:val="false"/>
          <w:caps w:val="false"/>
          <w:smallCaps w:val="false"/>
          <w:sz w:val="20"/>
        </w:rPr>
        <w:t xml:space="preserve">:    Securities of New Pasqal will cease to be Registrable Securities (as defined therein) when (a) such Registrable Securities have been sold, transferred, disposed of or exchanged in accordance with the plan of distribution set forth in a registration statement that covers such Registrable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(b) such Registrable Securities shall have ceased to be outstanding; (c) such Registrable Securities have been sold to, or through, a broker, dealer or Underwriter in a public distribution or other public securities transaction; (d) such Registrable Securities shall have been otherwise transferred by a holder, a new certificate or book-entry for such security not bearing a legend restricting further transfer shall have been delivered by New Pasqal and subsequent public distribution of such security shall not require registration under the Securities Act; or (e) such Registrable Securities are eligible for resale without registration pursuant to Rule 144 under the Securities Act (or any successor rule promulgated thereafter by the SEC) without volume or manner-of-sale restrictions and without the requirement for New Pasqal to be in compliance with the current public information required by Rule 144(i)(2) under the Securities Act. Registration Rights under the A&amp;R Registration Rights Agreement will terminate on the earlier of (i) the fifth (5th) anniversary of the date of the A&amp;R Registration Rights Agreement and (ii) with respect to any holder of Registrable Securities, the date on which such holder no longer holds Registrable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Liquidated Damages</w:t>
      </w:r>
      <w:r>
        <w:rPr>
          <w:rFonts w:ascii="Times New Roman PS Std;serif" w:hAnsi="Times New Roman PS Std;serif"/>
          <w:b w:val="false"/>
          <w:i w:val="false"/>
          <w:caps w:val="false"/>
          <w:smallCaps w:val="false"/>
          <w:sz w:val="20"/>
        </w:rPr>
        <w:t>:    Subject to certain exceptions, if (A) the Shelf Registration Statement has not been filed by the Filing Deadline (as defined in the A&amp;R Registration Rights Agreement), (B) the Shelf Registration Statement has not been declared effective by the Effectiveness Deadline (as defined in the A&amp;R Registration Rights Agreement), or (C) at any time on or after the Effectiveness Deadline the Shelf Registration Statement (or any subsequent Shelf Registration Statement covering Registrable Securities) ceases to be effective or unusable for the public resale of Registrable Securities for more than fifteen (15) consecutive Business Days or for more than an aggregate of forty-five (45) Business Days in any twelve (12) month period (each such event, a “</w:t>
      </w:r>
      <w:r>
        <w:rPr>
          <w:rFonts w:ascii="Times New Roman PS Std;serif" w:hAnsi="Times New Roman PS Std;serif"/>
          <w:b/>
          <w:i w:val="false"/>
          <w:caps w:val="false"/>
          <w:smallCaps w:val="false"/>
          <w:sz w:val="20"/>
        </w:rPr>
        <w:t>Registration Default</w:t>
      </w:r>
      <w:r>
        <w:rPr>
          <w:rFonts w:ascii="Times New Roman PS Std;serif" w:hAnsi="Times New Roman PS Std;serif"/>
          <w:b w:val="false"/>
          <w:i w:val="false"/>
          <w:caps w:val="false"/>
          <w:smallCaps w:val="false"/>
          <w:sz w:val="20"/>
        </w:rPr>
        <w:t>”), then, as liquidated damages and not as a penalty, New Pasqal shall pay to each Investor an amount in cash (the “</w:t>
      </w:r>
      <w:r>
        <w:rPr>
          <w:rFonts w:ascii="Times New Roman PS Std;serif" w:hAnsi="Times New Roman PS Std;serif"/>
          <w:b/>
          <w:i w:val="false"/>
          <w:caps w:val="false"/>
          <w:smallCaps w:val="false"/>
          <w:sz w:val="20"/>
        </w:rPr>
        <w:t>Liquidated Damages</w:t>
      </w:r>
      <w:r>
        <w:rPr>
          <w:rFonts w:ascii="Times New Roman PS Std;serif" w:hAnsi="Times New Roman PS Std;serif"/>
          <w:b w:val="false"/>
          <w:i w:val="false"/>
          <w:caps w:val="false"/>
          <w:smallCaps w:val="false"/>
          <w:sz w:val="20"/>
        </w:rPr>
        <w:t>”) equal to 1.00% of the aggregate amount paid pursuant to the SPA by such Investor for its securities thereunder then held by such Investor for each 30-day period or pro rata for any portion thereof during which the failure continues; provided that such Liquidated Damages to any Investor may not exceed, in the aggregate, 7.5% of the aggregate purchase price paid by such Investor to New Pasqal under the SPA.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the A&amp;R Registration Rights Agreement is attached as Exhibit 10.4 to the registration statement of which this 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certain investors entered into a securities purchase agreement dated as of March 4, 2026 and as amended on May 23, 2026, pursuant to which Investors agreed, among other things subject to certain conditions, to subscribe $312.5 million aggregate principal amount of senior unsecured convertible bonds convertible into New Pasqal Ordinary Shares and receive warrants to subscribe up to a number of New Pasqal Ordinary Shares equal to 125% of the total number of New Pasqal Ordinary Shares into which the Senior Unsecured Convertible Bonds are initially convertible at an exercise price of $12.00 per New Pasqal Ordinary Share, subject to adjustments provided in the March 2026 SPA at the closing of the Business Combination, for an aggregate subscription price of $250.0 million, reflecting a 20% original issue discount in a private placement. Each of the Investment Warrants are immediately exercisable upon issuance and will expire five years from the date of Closing. The closing of the Investment occurred substantially concurrent with the Closing.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Bpifrance Large Venture, one of Legacy Pasqal’s investors and an entity with representation on the New Pasqal Board, participated in the March 2026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    </w:t>
      </w:r>
      <w:r>
        <w:rPr>
          <w:rFonts w:ascii="Times New Roman PS Std;serif" w:hAnsi="Times New Roman PS Std;serif"/>
          <w:b w:val="false"/>
          <w:i w:val="false"/>
          <w:caps w:val="false"/>
          <w:smallCaps w:val="false"/>
          <w:sz w:val="20"/>
        </w:rPr>
        <w:t>Holders of the Senior Unsecured Convertible Bonds shall be organized as Masse. The Masse shall be governed by the provisions of the French Code de commerce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shall bear from their issuance until they are converted or redeemed, interests payable in cash on a semi-annual basis at a rate equal to 10%.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100% of the Accrued Value (as defined in the Senior Unsecured Convertible Bonds Terms and Conditions). Thereafter, the holders of Senior Unsecured Convertible Bonds will be entitled to receive their pro rata share of the remaining available proceeds available for distribution to bondholders, pro rata based on the number of Ordinary Shares held by each such holder, including all Ordinary Shares converted and all Ordinary Shares issuable upon conversion immediately prior to such liquidation, dissolution or winding up of New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Date are held by Inflection Point Asset Management LLC or the other investors in the March 2026 Financing or their respective affiliates, New Pasqal shall not, without the affirmative vote or written consent of the Masse, take any of the following actions: (i) liquidate, dissolve or wind up the affairs of New Pasqal, or commence or consent to any bankruptcy proceeding relating to New Pasqal (to the extent permitted under French law);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will promptly deliver written notice to the Senior Unsecured Convertible Bonds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converted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each holder of Senior Unsecured Convertible Bonds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notice pursuant to which New Pasqal has elected its settlement method;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March 2026 Financing,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at any time, upon prior written notice of redemption, as described in the Securities Purchase Agreement, if, and only if, the last reported sale price of the New Pasqal Ordinary Shares underlying such Investment Warrants equals or exceeds $18.00 per share for any 20 trading days within a 30-trading day period, and subject to certain other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Representative:    </w:t>
      </w:r>
      <w:r>
        <w:rPr>
          <w:rFonts w:ascii="Times New Roman PS Std;serif" w:hAnsi="Times New Roman PS Std;serif"/>
          <w:b w:val="false"/>
          <w:i w:val="false"/>
          <w:caps w:val="false"/>
          <w:smallCaps w:val="false"/>
          <w:sz w:val="20"/>
        </w:rPr>
        <w:t>Holders of Investment Warrants shall be organized as a Warrants Masse. The Warrants Masse shall be governed by the provisions of the French Code de commerce and will act in part through a representative (</w:t>
      </w:r>
      <w:r>
        <w:rPr>
          <w:rFonts w:ascii="Times New Roman PS Std;serif" w:hAnsi="Times New Roman PS Std;serif"/>
          <w:b w:val="false"/>
          <w:i/>
          <w:caps w:val="false"/>
          <w:smallCaps w:val="false"/>
          <w:sz w:val="20"/>
        </w:rPr>
        <w:t>representant de la masse</w:t>
      </w:r>
      <w:r>
        <w:rPr>
          <w:rFonts w:ascii="Times New Roman PS Std;serif" w:hAnsi="Times New Roman PS Std;serif"/>
          <w:b w:val="false"/>
          <w:i w:val="false"/>
          <w:caps w:val="false"/>
          <w:smallCaps w:val="false"/>
          <w:sz w:val="20"/>
        </w:rPr>
        <w:t>) and in part through collective decisions of the Convertible Bondholders, whether by general meetings or written consultations as permitted under Article L. 228-46-1 of the French Commercial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Inflection Point Designation Rights:    </w:t>
      </w:r>
      <w:r>
        <w:rPr>
          <w:rFonts w:ascii="Times New Roman PS Std;serif" w:hAnsi="Times New Roman PS Std;serif"/>
          <w:b w:val="false"/>
          <w:i w:val="false"/>
          <w:caps w:val="false"/>
          <w:smallCaps w:val="false"/>
          <w:sz w:val="20"/>
        </w:rPr>
        <w:t>In connection with the March 2026 Financing, Bleichroeder and the Sponsor agreed to provide the IP Investors led by Inflection Point, the right to designate an IP nominee to be included as one of the directors that Bleichroeder is entitled to designate to the New Pasqal Board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 with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8, 2023, a subsidiary of Legacy Pasqal entered into a service agreement with Mr. Wasiq Bokhari, who has served as Legacy Pasqal’s chairman since January 2024. Pursuant to the agreement, Dr. Bokhari provided advisory services to Legacy Pasqal and its subsidiaries, including corporate growth strategy, fundraising assistance and operational support. Compensation under the agreement was $10,000 per week. The agreement included a non-compete provision prohibiting Dr. Bokhari, for six months following termination, from working with or for any competitor of Legacy Pasqal. This service agreement was terminated effective as of the date of Mr. Bokhari’s appointment as </w:t>
      </w:r>
      <w:r>
        <w:rPr>
          <w:rFonts w:ascii="Times New Roman PS Std;serif" w:hAnsi="Times New Roman PS Std;serif"/>
          <w:b w:val="false"/>
          <w:i/>
          <w:caps w:val="false"/>
          <w:smallCaps w:val="false"/>
          <w:sz w:val="20"/>
        </w:rPr>
        <w:t>mandataire social</w:t>
      </w:r>
      <w:r>
        <w:rPr>
          <w:rFonts w:ascii="Times New Roman PS Std;serif" w:hAnsi="Times New Roman PS Std;serif"/>
          <w:b w:val="false"/>
          <w:i w:val="false"/>
          <w:caps w:val="false"/>
          <w:smallCaps w:val="false"/>
          <w:sz w:val="20"/>
        </w:rPr>
        <w:t xml:space="preserve"> on October 29,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December 23, 2019 to December 11, 2025, Pasqal SAS entered into certain share appreciation rights (“</w:t>
      </w:r>
      <w:r>
        <w:rPr>
          <w:rFonts w:ascii="Times New Roman PS Std;serif" w:hAnsi="Times New Roman PS Std;serif"/>
          <w:b/>
          <w:i w:val="false"/>
          <w:caps w:val="false"/>
          <w:smallCaps w:val="false"/>
          <w:sz w:val="20"/>
        </w:rPr>
        <w:t>SAR</w:t>
      </w:r>
      <w:r>
        <w:rPr>
          <w:rFonts w:ascii="Times New Roman PS Std;serif" w:hAnsi="Times New Roman PS Std;serif"/>
          <w:b w:val="false"/>
          <w:i w:val="false"/>
          <w:caps w:val="false"/>
          <w:smallCaps w:val="false"/>
          <w:sz w:val="20"/>
        </w:rPr>
        <w:t>”) agreements (the “</w:t>
      </w:r>
      <w:r>
        <w:rPr>
          <w:rFonts w:ascii="Times New Roman PS Std;serif" w:hAnsi="Times New Roman PS Std;serif"/>
          <w:b/>
          <w:i w:val="false"/>
          <w:caps w:val="false"/>
          <w:smallCaps w:val="false"/>
          <w:sz w:val="20"/>
        </w:rPr>
        <w:t>SAR Agreements</w:t>
      </w:r>
      <w:r>
        <w:rPr>
          <w:rFonts w:ascii="Times New Roman PS Std;serif" w:hAnsi="Times New Roman PS Std;serif"/>
          <w:b w:val="false"/>
          <w:i w:val="false"/>
          <w:caps w:val="false"/>
          <w:smallCaps w:val="false"/>
          <w:sz w:val="20"/>
        </w:rPr>
        <w:t>”) with certain Pasqal SAS’ employees and employees of Pasqal SAS’ subsidiaries. In connection with the Business Combination, after the Closing, Legacy Pasqal will enter into the amendments to the SAR Agreements to provide that (i) the reference securities used to calculate the appreciation payable upon a qualifying liquidity event, as defined therein, is Legacy Pasqal’s securities, and (ii) the qualifying liquidity events, as defined therein, that trigger payment under the SAR Agreements are liquidity events occurring at the level of Legacy Pasqal. Each SAR award is subject to a four-year vesting schedule, and certain SAR awards are subject to additional performance-based vesting conditions set forth therein.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Business Combination Agreement, certain shareholders of Pasqal entered into a company support agreement (the “</w:t>
      </w:r>
      <w:r>
        <w:rPr>
          <w:rFonts w:ascii="Times New Roman PS Std;serif" w:hAnsi="Times New Roman PS Std;serif"/>
          <w:b/>
          <w:i w:val="false"/>
          <w:caps w:val="false"/>
          <w:smallCaps w:val="false"/>
          <w:sz w:val="20"/>
        </w:rPr>
        <w:t>Company Support Agreement</w:t>
      </w:r>
      <w:r>
        <w:rPr>
          <w:rFonts w:ascii="Times New Roman PS Std;serif" w:hAnsi="Times New Roman PS Std;serif"/>
          <w:b w:val="false"/>
          <w:i w:val="false"/>
          <w:caps w:val="false"/>
          <w:smallCaps w:val="false"/>
          <w:sz w:val="20"/>
        </w:rPr>
        <w:t>”) with Bleichroeder, Legacy Pasqal and Merger Sub, pursuant to which each such shareholders agreed to, among other things, (i) vote in favor of the Business Combination Agreement, the Mergers, and each other proposal related to the Business Combination, and against any alternative transactions or agreements that would reasonably be expected to prevent, impede, interfere with, delay, postpone or adversely affect the Business Combination, (ii) be bound to certain transfer restrictions with respect to its shares and other equity securities of Pasqal prior to the expiration of the Company Support Agreement, and (iii) vote in opposition to any proposals for an Alternative Transaction (as defined in the Company Support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Pasqal SAS’ Series A and Series B rounds in 2021 and 2022, Pasqal SAS entered into certain shareholders’ agreements (“</w:t>
      </w:r>
      <w:r>
        <w:rPr>
          <w:rFonts w:ascii="Times New Roman PS Std;serif" w:hAnsi="Times New Roman PS Std;serif"/>
          <w:b/>
          <w:i w:val="false"/>
          <w:caps w:val="false"/>
          <w:smallCaps w:val="false"/>
          <w:sz w:val="20"/>
        </w:rPr>
        <w:t>Series A and Series B SHAs</w:t>
      </w:r>
      <w:r>
        <w:rPr>
          <w:rFonts w:ascii="Times New Roman PS Std;serif" w:hAnsi="Times New Roman PS Std;serif"/>
          <w:b w:val="false"/>
          <w:i w:val="false"/>
          <w:caps w:val="false"/>
          <w:smallCaps w:val="false"/>
          <w:sz w:val="20"/>
        </w:rPr>
        <w:t>”) with certain Pasqal SAS shareholders. The Series A and Series B SHAs have been terminated and are no longer in effect. In 2025, Pasqal SAS entered into a shareholders’ agreement in connection with its Series C round (“</w:t>
      </w:r>
      <w:r>
        <w:rPr>
          <w:rFonts w:ascii="Times New Roman PS Std;serif" w:hAnsi="Times New Roman PS Std;serif"/>
          <w:b/>
          <w:i w:val="false"/>
          <w:caps w:val="false"/>
          <w:smallCaps w:val="false"/>
          <w:sz w:val="20"/>
        </w:rPr>
        <w:t>Series C SHA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entered into a shareholders’ agreement (“</w:t>
      </w:r>
      <w:r>
        <w:rPr>
          <w:rFonts w:ascii="Times New Roman PS Std;serif" w:hAnsi="Times New Roman PS Std;serif"/>
          <w:b/>
          <w:i w:val="false"/>
          <w:caps w:val="false"/>
          <w:smallCaps w:val="false"/>
          <w:sz w:val="20"/>
        </w:rPr>
        <w:t>SHA</w:t>
      </w:r>
      <w:r>
        <w:rPr>
          <w:rFonts w:ascii="Times New Roman PS Std;serif" w:hAnsi="Times New Roman PS Std;serif"/>
          <w:b w:val="false"/>
          <w:i w:val="false"/>
          <w:caps w:val="false"/>
          <w:smallCaps w:val="false"/>
          <w:sz w:val="20"/>
        </w:rPr>
        <w:t>,” together with the Series C SHA, the “</w:t>
      </w:r>
      <w:r>
        <w:rPr>
          <w:rFonts w:ascii="Times New Roman PS Std;serif" w:hAnsi="Times New Roman PS Std;serif"/>
          <w:b/>
          <w:i w:val="false"/>
          <w:caps w:val="false"/>
          <w:smallCaps w:val="false"/>
          <w:sz w:val="20"/>
        </w:rPr>
        <w:t>SHAs</w:t>
      </w:r>
      <w:r>
        <w:rPr>
          <w:rFonts w:ascii="Times New Roman PS Std;serif" w:hAnsi="Times New Roman PS Std;serif"/>
          <w:b w:val="false"/>
          <w:i w:val="false"/>
          <w:caps w:val="false"/>
          <w:smallCaps w:val="false"/>
          <w:sz w:val="20"/>
        </w:rPr>
        <w:t>”) that provided certain rights to Legacy Pasqal shareholders including certain approval rights, restrictions on transfers, rights of first offer and refusal, tag-along rights, drag-along rights, observer rights and information rights. The SHAs terminated upon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in June 2026, 347,800 historical BSPCEs awarded by Pasqal SAS with an exercise price of €0.37 were exercised by the BSPCE beneficiaries, resulting in the issuance of 347,800 ordinary shares of Pasqal SAS. These 347,800 ordinary shares of Pasqal SAS will be contributed to Legacy Pasqal prior to closing, resulting in the issuance of 347,800 ordinary shares of Legacy Pasqal in remuneration of this contribution. Furthermore, all 2021-1, 2021-2, 2022, 2024, 2025-1 and 2025-2 BSPCE at the level of Pasqal SAS were cancelled, and new BSPCE were issued by Legacy Pasqal and granted to the relevant beneficiaries.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Allocation Agreement between Pasqal Holding SAS and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Pasqal SAS and Legacy Pasqal entered into a business allocation agreement pursuant to which all activities relating to the development of core intellectual property or the production of next-generation hardware must be carried out within Pasqal SAS or its subsidiaries, and none of these activities carried out by Pasqal SAS may be transferred to a subsidiary of Pasqal SAS located outside France without the agreement of a strategic committee (including the positive vote of Bpifrance) (the “</w:t>
      </w:r>
      <w:r>
        <w:rPr>
          <w:rFonts w:ascii="Times New Roman PS Std;serif" w:hAnsi="Times New Roman PS Std;serif"/>
          <w:b/>
          <w:i w:val="false"/>
          <w:caps w:val="false"/>
          <w:smallCaps w:val="false"/>
          <w:sz w:val="20"/>
        </w:rPr>
        <w:t>Strategic Committee</w:t>
      </w:r>
      <w:r>
        <w:rPr>
          <w:rFonts w:ascii="Times New Roman PS Std;serif" w:hAnsi="Times New Roman PS Std;serif"/>
          <w:b w:val="false"/>
          <w:i w:val="false"/>
          <w:caps w:val="false"/>
          <w:smallCaps w:val="false"/>
          <w:sz w:val="20"/>
        </w:rPr>
        <w:t>”) consisting of five members: the CEO of New Pasqal, the Chairman of Pasqal SAS, two members of the board of directors of New Pasqal, and a representative of Bpifrance. The agreement has an initial term of 15 years, renewable at the request of either party for an additional period of 5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 Strategic Committee was established at Pasqal SAS pursuant to its articles of association, consisting of five members, including (i) the Chief Executive Officer of New Pasqal, (ii) Pasqal SAS’ President, (iii) two board members of New Pasqal and (iv) a representative of Bpifrance, one of Legacy Pasqal’s shareholders that will remain a shareholder of New Pasqal. The consent of the Strategic Committee (majority vote with the positive vote of Bpifrance) is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the Pasqal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the Sponsor, certain shareholders of Legacy Pasqal, certain shareholders of Bleichroeder and certain directors and officers entered into lock-up agreements (the “</w:t>
      </w:r>
      <w:r>
        <w:rPr>
          <w:rFonts w:ascii="Times New Roman PS Std;serif" w:hAnsi="Times New Roman PS Std;serif"/>
          <w:b/>
          <w:i w:val="false"/>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Agreements</w:t>
      </w:r>
      <w:r>
        <w:rPr>
          <w:rFonts w:ascii="Times New Roman PS Std;serif" w:hAnsi="Times New Roman PS Std;serif"/>
          <w:b w:val="false"/>
          <w:i w:val="false"/>
          <w:caps w:val="false"/>
          <w:smallCaps w:val="false"/>
          <w:sz w:val="20"/>
        </w:rPr>
        <w:t>”), pursuant to which, among other things, each of the Lock-Up Parties agreed not to effect any sale or distribution of the New Pasqal Ordinary Shares held by such holder after the Closing until the earlier of (i) 180 days after the date on which the Closing occurs, (ii) the day after the date on which the closing price of the New Pasqal Ordinary Shares equals or exceeds $12.00 per share (as adjusted for share sub-divisions, share capitalizations, reorganizations, recapitalizations and the like) for any 20 trading days within any 30-trading day period commencing after the date on which the Closing occurs,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executive officers and directors. The indemnification agreements provide the indemnitees with contractual rights to indemnification, and expense advancement and reimbursement, to the fullest extent permitted under French law, subject to certain exceptions contained in those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Bpifrance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Bpifrance Board Representation Letter with Bpifrance, one of Legacy Pasqal’s shareholders that will remain a significant shareholder of New Pasqal following the Business Combination. Pursuant to the Bpifrance Board Representation Letter, for so long as Bpifrance or its affiliates beneficially own any New Pasqal Ordinary Shares, Bpifrance will be entitled to propose the appointment of one member to the New Pasqal Board, who New Pasqal will also propose for appointment to the Board’s nominating and governance committee, and New Pasqal will undertake to submit renewal or replacement resolutions to its shareholders and to co-opt a replacement proposed by Bpifrance if the director so designated ceases to serve. If the BPI Investor ceases to beneficially own at least 50% of the New Pasqal Ordinary Shares it beneficially owned on the date of the Bpifrance Board Representation Letter, Bpifrance has agreed to negotiate in good faith the director appointment rights it will retain thereafter.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The board seat designated by Bpifrance is initially held by a legal entity (personne morale) that, in accordance with French law, has appointed Nicolas Berdou as its permanent representative (représentant permanent).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EIC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EIC Board Representation Letter with EIC Fund, one of Legacy Pasqal’s shareholders that will remain a shareholder of New Pasqal following the Business Combination. Pursuant to the EIC Board Representation Letter, for so long as the EIC Investor beneficially owns any New Pasqal Ordinary Shares, EIC Fund will be entitled to propose the appointment of one member to the New Pasqal Board, who New Pasqal will also propose for appointment to the Board’s audit committee, and New Pasqal will undertake to submit renewal or replacement resolutions to its shareholders and to co-opt a replacement proposed by EIC Fund if the director so designated ceases to serve. The board seat designated by EIC Fund will initially be held by Jean Raby.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MC Advisory Board Observer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and MC Advisory entered into the MC Advisory Board Observer Letter, pursuant to which, for so long as MC Advisory Investor beneficially owns 50% of the New Pasqal Ordinary Shares it beneficially owns at the date of the MC Advisory Board Observer Letter, MC Advisory will be entitled to request one non-voting observer to attend meetings of the New Pasqal Board, provided that none of Mr. Combes, Mr. Gundlach or any other member, manager, partner, principal, director, officer, employee, agent, representative, controlling person or other affiliate of MC Advisory, the MC Advisory Investor (as defined therein) or any permitted transfee thereunder is a member of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Regarding Related Party Transactions After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Business Combination, New Pasqal adopted a policy and procedures whereby its audit committee will be responsible for reviewing and approving related party transactions. In addition, New Pasqal’s Code of Ethics will require that all of our employees and directors inform New Pasqal of any material transaction or relationship that comes to their attention that could reasonably be expected to create a conflict of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15"/>
      <w:bookmarkEnd w:id="15"/>
      <w:r>
        <w:rPr>
          <w:rFonts w:ascii="Times New Roman PS Std;serif" w:hAnsi="Times New Roman PS Std;serif"/>
          <w:b/>
          <w:i w:val="false"/>
          <w:caps w:val="false"/>
          <w:smallCaps w:val="false"/>
          <w:sz w:val="20"/>
        </w:rPr>
        <w:t xml:space="preserve">PRINCIPAL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accompanying footnotes set forth information known to us regarding the actual beneficial ownership of the Ordinary Shares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the beneficial owner of more than 5% of our outstanding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current directors and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Ordinary Shares subject to Rollover BSPCEs, options, Warrants, Investment Warrants, Senior Unsecured Convertible Bonds or other rights held by that person that are currently exercisable or convertible, or will become exercisable or convertible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beneficial ownership of the Company is based on 212,293,691 Ordinary Shares issued and outstanding as of September 1, 2026 after giving effect to the Business Combination and after giving effect to redemptions by Bleichroeder’s public shareholders in connection with the consummation of the Business Combination. In computing the number of Ordinary Shares beneficially owned by a person and the percentage ownership of such person, we deemed to be outstanding all Ordinary Shares subject to the Rollover BSPCEs, options, Warrants, Investment Warrants and Senior Unsecured Convertible Bonds held by the person that are currently exercisable or convertible or exercisable or convertible within 60 days of September 1, 2026. We did not deem such shares outstanding, however, for the purpose of computing the percentage ownership of any other person. The table excludes the potential dilutive effect of 17,333,333 Ordinary Shares issuable upon exercise of the Warrants, 32,703,460 Ordinary Shares underlying the Rollover BSPCEs and assumed options, 26,041,667 Ordinary Shares issuable upon conversion of the Senior Unsecured Convertible Bonds and 32,552,083 Ordinary Shares issuable upon exercise of the Investment Warrants, in each case other than as reflected in the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and subject to applicable community property laws, we believe that all persons named in the table below have sole voting and investment power with respect to the Ordinary Shares beneficially owned by them. To our knowledge, none of the Ordinary Shares beneficially owned by any executive officer or director have been pledged as security. Unless otherwise indicated, the address of each shareholder named below is c/o Pasqal Holding SA, 24, rue Emile Baudot, 91120 Palaiseau, France.</w:t>
      </w:r>
    </w:p>
    <w:tbl>
      <w:tblPr>
        <w:tblW w:w="6294" w:type="dxa"/>
        <w:jc w:val="left"/>
        <w:tblInd w:w="0" w:type="dxa"/>
        <w:tblLayout w:type="fixed"/>
        <w:tblCellMar>
          <w:top w:w="0" w:type="dxa"/>
          <w:left w:w="0" w:type="dxa"/>
          <w:bottom w:w="0" w:type="dxa"/>
          <w:right w:w="0" w:type="dxa"/>
        </w:tblCellMar>
      </w:tblPr>
      <w:tblGrid>
        <w:gridCol w:w="3586"/>
        <w:gridCol w:w="146"/>
        <w:gridCol w:w="1246"/>
        <w:gridCol w:w="146"/>
        <w:gridCol w:w="701"/>
        <w:gridCol w:w="469"/>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and Executive Officers(1):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4,283,671</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6,555,762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22,231,152</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4,011,667</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384" w:type="dxa"/>
        <w:jc w:val="left"/>
        <w:tblInd w:w="0" w:type="dxa"/>
        <w:tblLayout w:type="fixed"/>
        <w:tblCellMar>
          <w:top w:w="0" w:type="dxa"/>
          <w:left w:w="0" w:type="dxa"/>
          <w:bottom w:w="0" w:type="dxa"/>
          <w:right w:w="0" w:type="dxa"/>
        </w:tblCellMar>
      </w:tblPr>
      <w:tblGrid>
        <w:gridCol w:w="6676"/>
        <w:gridCol w:w="146"/>
        <w:gridCol w:w="1246"/>
        <w:gridCol w:w="146"/>
        <w:gridCol w:w="701"/>
        <w:gridCol w:w="469"/>
      </w:tblGrid>
      <w:tr>
        <w:trPr/>
        <w:tc>
          <w:tcPr>
            <w:tcW w:w="6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973,107</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(eleven individuals)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42,067,025</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4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5.0% or Greater Beneficial Owners: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Investiqo SAS(10)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12,382,286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Quantonation(11)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24,448,402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Runa Capital Fund III, L.P.(12)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18,961,944</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Bpifrance Investissement S.A.S.(13)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24,480,841</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Temasek(14)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11,873,655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EIC Fund(15)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14,510,094</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15,890,625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outstanding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director and executive officer is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1,034,244 New Pasqal Ordinary Shares and (ii) an aggregate of 3,249,427 New Pasqal Ordinary Shares underlying (i) 135,987 BSPCEs that are vested and exercisable as of the date hereof plus (ii) 6,932 BSPCEs that will become vested and exercisable within 60 days, with each BSPCE exercisable for a number of New Pasqal Ordinary Shares equal to the Exchange Ratio. Upon consummation of the Business Combination and pursuant to the Business Combination Agreement, Dr. Henriet acquired 332,753 BSPCEs exercisable for an aggregate of 7,565,520 New Pasqal Ordinary Shares, with the following vesting schedule:(i) 1,946 BSPCEs vesting on a monthly basis between July 1, 2024, and July 1, 2028, (ii) 1,442 BSPCEs vesting on a monthly basis between January 1, 2025, and January 1, 2029, and (iii) 3,544 BSPCEs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an aggregate of 6,555,762 New Pasqal Ordinary Shares underlying (i) 274,476 BSPCEs that are vested and exercisable as of the date hereof plus (ii) 13,865 BSPCEs that will become vested and exercisable within 60 days, with each BSPCE exercisable for a number of New Pasqal Ordinary Shares equal to the Exchange Ratio. Upon consummation of the Business Combination and pursuant to the Business Combination Agreement, Dr. Bokhari acquired 665,507 BSPCEs exercisable for an aggregate of 15,131,063 New Pasqal Ordinary Shares, with the following vesting schedule: (i) 4,100 BSPCEs vesting on a monthly basis between July 1, 2024, and July 1, 2028, (ii) 2,885 BSPCEs vesting on a monthly basis between January 1, 2025, and January 1, 2029, and (iii) 6,880 BSPCEs of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22,231,152 New Pasqal Ordinary Shares, consisting of (i) 22,185,680 New Pasqal Ordinary Shares and (ii) 45,472 New Pasqal Ordinary Shares underlying 2,000 BSPCEs that are vested and exercisable as of the date hereof. Upon consummation of the Business Combination and pursuant to the Business Combination Agreement, Mr. Reymond acquired 8,000 BSPCEs exercisable for an aggregate of 181,889 New Pasqal Ordinary Shares, vesting annually in four equal installments between March 15, 2026 and March 15, 2029.Mr.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shares disclosed for Mr. Combes are held of record by MC Advisory LLC- FZ, consisting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disclosed for Mr. Gundlach consist of (A) 50,233 New Pasqal Ordinary Shares and 30,000 New Pasqal Ordinary Shares underlying 30,000 New Pasqal Warrants that were formerly Bleichroeder private placement warrants held in his personal capacity and (B)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Shares are held of record by Inflection Point Fund I LP, or Inflection Point. Consists of (i) 2,000,000 New Pasqal Ordinary Shares, (ii) 1,000,000 New Pasqal Ordinary Shares underlying New Pasqal Warrants that were formerly Bleichoeder private placement warrants, (iii) 5,729,167 shares of New Pasqal Ordinary Shares estimated to be issued to Inflection Point Fund pursuant to the terms of the Senior Unsecured Convertible Bond it holds, at the initial conversion price of $12.00, (ii) 7,161,458 shares of New Pasqal Ordinary Shares issuable upon exercise of the Investment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973,107 New Pasqal Ordinary Shares acquired by Mr. Aspect in the Business Combination.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Mr. Berdou does not beneficially own any New Pasqal Ordinary Shares in his individual capacity. Mr. Berdou serves on the New Pasqal Board as the permanent representative (représentant permanent) of Bpifrance , the legal entity (personne morale) designated as a director. Mr. Berdou disclaims beneficial ownership of the New Pasqal Ordinary Shares beneficially owned by the entities affiliated with Bpifrance described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in which QUANTONATION 1 has sole voting and dispositive power over such New Pasqal Ordinary Shares, (ii) 322,853 New Pasqal Ordinary Shares held by Quantonation Co-Investment SPV I, LLC and (iii) 2,200,858 New Pasqal Ordinary Shares held by FPCI Quantonation Co-Investment SPV II, LLC.</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1,041,666 New Pasqal Ordinary Shares estimated to be issued to FPS Bpifrance Innovation I, Compartiment B Large Venture 2 pursuant to the terms of the Senior Unsecured Convertible Bonds it holds, at the initial conversion price of $12.00, and (ii) 1,302,083 New Pasqal Ordinary Shares issuable upon exercise of the Investment Warrants it holds.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16"/>
      <w:bookmarkEnd w:id="16"/>
      <w:r>
        <w:rPr>
          <w:rFonts w:ascii="Times New Roman PS Std;serif" w:hAnsi="Times New Roman PS Std;serif"/>
          <w:b/>
          <w:i w:val="false"/>
          <w:caps w:val="false"/>
          <w:smallCaps w:val="false"/>
          <w:sz w:val="20"/>
        </w:rPr>
        <w:t xml:space="preserve">SELLING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by the Selling Securityholders from time to time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held by the Sponsor received upon conversion of 9,583,333 Bleichroeder Class B ordinary shares in connection with the Business Combination, (d) up to 7,750,000 Ordinary Shares issuable upon exercise of the Private Placement Warrants, (e) up to 162,974,246 Ordinary Shares issued to certain affiliated former shareholders of Legacy Pasqal in connection with the Merger, and (ii) up to 7,750,000 Private Placement Warrants. We will not receive any proceeds from the sale of Ordinary Shares or Private Placement Warrants by the Selling Securityholders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the term “Selling Securityholders” includes the persons listed in the table below, together with any additional Selling Securityholders listed in a subsequent amendment to this prospectus, and their pledgees, donees, transferees, assignees, successors, designees and others who later come to hold any of the Selling Securityholders’ interests in the Ordinary Shares or Private Placement Warrants other than through a public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securities held by certain of our Selling Securityholders are subject to transfer restrictions pursuant to the Lock-Up Agreements. Such restrictions began at the Closing of the Business Combination and end on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footnotes below, the following table sets forth, based on written representations from the Selling Securityholders, certain information as of September 1, 2026, following the Closing, regarding the beneficial ownership of our Ordinary Shares and Private Placement Warrants by the Selling Securityholders and the Ordinary Shares and Private Placement Warrants being offered by the Selling Securityholders. The applicable percentage ownership of Ordinary Shares is based on approximately 212,293,691 Ordinary Shares outstanding as of September 1, 2026 following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Ordinary Shares and Private Placement Warrants owned beneficially after the offering assumes the sale of all of the Ordinary Shares or Private Placement Warrants. The Selling Securityholders may offer and sell some, all or none of their Ordinary Shares or Private Placement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Except as indicated by the footnotes below, we believe, based on the information furnished to us, that the Selling Securityholders have sole voting and investment power with respect to all Ordinary Shares and Private Placement Warrants that they beneficially own, subject to applicable community property laws. Except as otherwise described below, based on the information provided to us by the Selling Securityholders, no Selling Securityholders is a broker-dealer or an affiliate of a broker dealer.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 titled “Plan of Distribution” for further information regarding the Selling Securityholder’s method of distributing these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62" w:type="dxa"/>
        <w:jc w:val="left"/>
        <w:tblInd w:w="0" w:type="dxa"/>
        <w:tblLayout w:type="fixed"/>
        <w:tblCellMar>
          <w:top w:w="0" w:type="dxa"/>
          <w:left w:w="0" w:type="dxa"/>
          <w:bottom w:w="0" w:type="dxa"/>
          <w:right w:w="0" w:type="dxa"/>
        </w:tblCellMar>
      </w:tblPr>
      <w:tblGrid>
        <w:gridCol w:w="1976"/>
        <w:gridCol w:w="146"/>
        <w:gridCol w:w="1246"/>
        <w:gridCol w:w="146"/>
        <w:gridCol w:w="1246"/>
        <w:gridCol w:w="146"/>
        <w:gridCol w:w="1231"/>
        <w:gridCol w:w="146"/>
        <w:gridCol w:w="916"/>
        <w:gridCol w:w="146"/>
        <w:gridCol w:w="1231"/>
        <w:gridCol w:w="146"/>
        <w:gridCol w:w="1156"/>
        <w:gridCol w:w="146"/>
        <w:gridCol w:w="1231"/>
        <w:gridCol w:w="146"/>
        <w:gridCol w:w="961"/>
      </w:tblGrid>
      <w:tr>
        <w:trPr/>
        <w:tc>
          <w:tcPr>
            <w:tcW w:w="19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50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Warrants to purchase Ordinary Shares</w:t>
            </w:r>
          </w:p>
        </w:tc>
      </w:tr>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Name of Selling Security Holder</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Georges-Olivier Reymond</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22,231,152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22,367,569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Loïc Henriet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4,283,671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8,599,764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Wasiq Bokhari</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6,555,762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15,131,063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Quantonation</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Bpifrance Investissement S.A.S.</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24,480,841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26,391,784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Temasek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EIC Fund</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Alain Aspect</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Browaeys</w:t>
            </w:r>
            <w:r>
              <w:rPr>
                <w:rFonts w:ascii="Times New Roman PS Std;serif" w:hAnsi="Times New Roman PS Std;serif"/>
                <w:b w:val="false"/>
                <w:i w:val="false"/>
                <w:caps w:val="false"/>
                <w:smallCaps w:val="false"/>
                <w:sz w:val="12"/>
              </w:rPr>
              <w:t>(10)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Andrew Gundlach</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ASG 2019 IRRV TR</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MC Advisory L.L.C. – FZ</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Inflection Point Fund I LP</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15,890,625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26,400,808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Science &amp; Technology Partners Master, L.P.</w:t>
            </w:r>
            <w:r>
              <w:rPr>
                <w:rFonts w:ascii="Times New Roman PS Std;serif" w:hAnsi="Times New Roman PS Std;serif"/>
                <w:b w:val="false"/>
                <w:i w:val="false"/>
                <w:caps w:val="false"/>
                <w:smallCaps w:val="false"/>
                <w:sz w:val="12"/>
              </w:rPr>
              <w:t>(14)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4,046,875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5,002,346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Continental General Insurance Company</w:t>
            </w:r>
            <w:r>
              <w:rPr>
                <w:rFonts w:ascii="Times New Roman PS Std;serif" w:hAnsi="Times New Roman PS Std;serif"/>
                <w:b w:val="false"/>
                <w:i w:val="false"/>
                <w:caps w:val="false"/>
                <w:smallCaps w:val="false"/>
                <w:sz w:val="12"/>
              </w:rPr>
              <w:t>(15)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8,994,791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15,016,423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666,666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Marcello J. Padula</w:t>
            </w:r>
            <w:r>
              <w:rPr>
                <w:rFonts w:ascii="Times New Roman PS Std;serif" w:hAnsi="Times New Roman PS Std;serif"/>
                <w:b w:val="false"/>
                <w:i w:val="false"/>
                <w:caps w:val="false"/>
                <w:smallCaps w:val="false"/>
                <w:sz w:val="12"/>
              </w:rPr>
              <w:t>(16)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Robert Folino</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Katherine Savitt</w:t>
            </w:r>
            <w:r>
              <w:rPr>
                <w:rFonts w:ascii="Times New Roman PS Std;serif" w:hAnsi="Times New Roman PS Std;serif"/>
                <w:b w:val="false"/>
                <w:i w:val="false"/>
                <w:caps w:val="false"/>
                <w:smallCaps w:val="false"/>
                <w:sz w:val="12"/>
              </w:rPr>
              <w:t>(18)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Theysset</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Clemence Rasigni</w:t>
            </w:r>
            <w:r>
              <w:rPr>
                <w:rFonts w:ascii="Times New Roman PS Std;serif" w:hAnsi="Times New Roman PS Std;serif"/>
                <w:b w:val="false"/>
                <w:i w:val="false"/>
                <w:caps w:val="false"/>
                <w:smallCaps w:val="false"/>
                <w:sz w:val="12"/>
              </w:rPr>
              <w:t>(20)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Encore Issuances S.A., acting in respect of its Compartment 204</w:t>
            </w:r>
            <w:r>
              <w:rPr>
                <w:rFonts w:ascii="Times New Roman PS Std;serif" w:hAnsi="Times New Roman PS Std;serif"/>
                <w:b w:val="false"/>
                <w:i w:val="false"/>
                <w:caps w:val="false"/>
                <w:smallCaps w:val="false"/>
                <w:sz w:val="12"/>
              </w:rPr>
              <w:t>(21)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Clear Street LLC</w:t>
            </w:r>
            <w:r>
              <w:rPr>
                <w:rFonts w:ascii="Times New Roman PS Std;serif" w:hAnsi="Times New Roman PS Std;serif"/>
                <w:b w:val="false"/>
                <w:i w:val="false"/>
                <w:caps w:val="false"/>
                <w:smallCaps w:val="false"/>
                <w:sz w:val="12"/>
              </w:rPr>
              <w:t>(22)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Nicolas Salloum</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Lionel Martellini</w:t>
            </w:r>
            <w:r>
              <w:rPr>
                <w:rFonts w:ascii="Times New Roman PS Std;serif" w:hAnsi="Times New Roman PS Std;serif"/>
                <w:b w:val="false"/>
                <w:i w:val="false"/>
                <w:caps w:val="false"/>
                <w:smallCaps w:val="false"/>
                <w:sz w:val="12"/>
              </w:rPr>
              <w:t>(24)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S.A.G.E.S. (Société Auxiliaire de gestion)</w:t>
            </w:r>
            <w:r>
              <w:rPr>
                <w:rFonts w:ascii="Times New Roman PS Std;serif" w:hAnsi="Times New Roman PS Std;serif"/>
                <w:b w:val="false"/>
                <w:i w:val="false"/>
                <w:caps w:val="false"/>
                <w:smallCaps w:val="false"/>
                <w:sz w:val="12"/>
              </w:rPr>
              <w:t>(25)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Cyrus Colmcille Claffey</w:t>
            </w:r>
            <w:r>
              <w:rPr>
                <w:rFonts w:ascii="Times New Roman PS Std;serif" w:hAnsi="Times New Roman PS Std;serif"/>
                <w:b w:val="false"/>
                <w:i w:val="false"/>
                <w:caps w:val="false"/>
                <w:smallCaps w:val="false"/>
                <w:sz w:val="12"/>
              </w:rPr>
              <w:t>(26)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Denise and Michael Kellen Foundation, Inc.</w:t>
            </w:r>
            <w:r>
              <w:rPr>
                <w:rFonts w:ascii="Times New Roman PS Std;serif" w:hAnsi="Times New Roman PS Std;serif"/>
                <w:b w:val="false"/>
                <w:i w:val="false"/>
                <w:caps w:val="false"/>
                <w:smallCaps w:val="false"/>
                <w:sz w:val="12"/>
              </w:rPr>
              <w:t>(27)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Alyeska Master Fund, L.P.</w:t>
            </w:r>
            <w:r>
              <w:rPr>
                <w:rFonts w:ascii="Times New Roman PS Std;serif" w:hAnsi="Times New Roman PS Std;serif"/>
                <w:b w:val="false"/>
                <w:i w:val="false"/>
                <w:caps w:val="false"/>
                <w:smallCaps w:val="false"/>
                <w:sz w:val="12"/>
              </w:rPr>
              <w:t>(28)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10,938,371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53,183,654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Alto Opportunity Master Fund, SPC – Segregated Master Portfolio B</w:t>
            </w:r>
            <w:r>
              <w:rPr>
                <w:rFonts w:ascii="Times New Roman PS Std;serif" w:hAnsi="Times New Roman PS Std;serif"/>
                <w:b w:val="false"/>
                <w:i w:val="false"/>
                <w:caps w:val="false"/>
                <w:smallCaps w:val="false"/>
                <w:sz w:val="12"/>
              </w:rPr>
              <w:t>(29)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4,687,500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8,509,385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Runa Capital Fund III, L.P.</w:t>
            </w:r>
            <w:r>
              <w:rPr>
                <w:rFonts w:ascii="Times New Roman PS Std;serif" w:hAnsi="Times New Roman PS Std;serif"/>
                <w:b w:val="false"/>
                <w:i w:val="false"/>
                <w:caps w:val="false"/>
                <w:smallCaps w:val="false"/>
                <w:sz w:val="12"/>
              </w:rPr>
              <w:t>(30)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Cohen &amp; Company Securities, LLC</w:t>
            </w:r>
            <w:r>
              <w:rPr>
                <w:rFonts w:ascii="Times New Roman PS Std;serif" w:hAnsi="Times New Roman PS Std;serif"/>
                <w:b w:val="false"/>
                <w:i w:val="false"/>
                <w:caps w:val="false"/>
                <w:smallCaps w:val="false"/>
                <w:sz w:val="12"/>
              </w:rPr>
              <w:t>(31)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Investiqo SAS</w:t>
            </w:r>
            <w:r>
              <w:rPr>
                <w:rFonts w:ascii="Times New Roman PS Std;serif" w:hAnsi="Times New Roman PS Std;serif"/>
                <w:b w:val="false"/>
                <w:i w:val="false"/>
                <w:caps w:val="false"/>
                <w:smallCaps w:val="false"/>
                <w:sz w:val="12"/>
              </w:rPr>
              <w:t>(32)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principal business address of each of the following individuals is c/o Pasqal Holding SA,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Reymond is a director of New Pasqal. The securities registered for resale consists of 22,367,569 New Pasqal Ordinary Shares, consisting of (i) 22,185,680 New Pasqal Ordinary Shares acquired in the Business Combination and (ii) a maximum of 181,889 New Pasqal Ordinary Shares underlying BSPCEs. 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Dr. Henriet is the Chief Technology Officer of New Pasqal. The securities registered for resale consists of (i) 1,034,244 New Pasqal Ordinary Shares and (ii) a maximum of 7,565,520 New Pasqal shares underlying BSPCEs. Dr. Henriet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Dr. Bokhari is the Chief Executive Officer and a director of New Pasqal. The securities registered for resale consists of a maximum of 15,131,063 New Pasqal shares underlying BSPCEs held by Dr. Bokhari. Dr. Bokhari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(ii) 322,853 New Pasqal Ordinary Shares held by Quantonation Co-Investment SPV I, LLC and (iii) 2,200,858 shares held by FPCI Quantonation Co-Investment SPV II, LLC. QUANTONATION 1, Quantonation Co-Investment SPV I, LLC and FPCI Quantonation Co-Investment SPV II are managed by QUANTONATION VENTURES SAS, their management company, which is the sole decision maker. QUANTONATION VENTURES SAS’s beneficial owner is its president, Mr Christophe JURCZAK. The address for the Quantonation entities is 58, rue d’Hauteville — 75010 Paris, France. Over the past three (3) years Quantonation 1, together with FPCI Quantonation Co-Investment SPV II and Quantonation Co-Investment SPV I LLC, had the right to appoint a board member under a Shareholders’ Agreement with Legacy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registered hereby consist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2,251,487 New Pasqal Ordinary Shares estimated to be issued to FPS Bpifrance Innovation I, Compartiment B Large Venture 2 pursuant to the terms of the Senior Unsecured Convertible Bonds it holds, at the floor conversion price of $7.80 and assuming three years of PIK interest accrued and added to the principal of the Senior Unsecured Convertible Bonds, and (ii) 2,003,205 New Pasqal Ordinary Shares issuable upon exercise of the Investment Warrants it holds assuming an exercise price of $7.80 pursuant to the terms of the Investment Warrants.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 Maynard Kang, a director at Temasek, has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973,107 New Pasqal Ordinary Shares acquired by Mr. Aspect in the Business Combination. Mr. Aspect currently serves as the Non-Executive Chair of the New Pasqal Board. Mr. Aspect is one of the founders of Legacy Pasqal and served as Chair of Legacy Pasqal’s Scientific Advisory Board.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9,839,930 New Pasqal Ordinary Shares acquired by Dr. Browaeys in the Business Combination. Dr. Browaeys is a co-founder of Legacy Pasqal and has previously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shares disclosed for Mr. Gundlach consist of 50,233 New Pasqal Ordinary Shares and 30,000 New Pasqal Ordinary Shares underlying 30,000 New Pasqal Warrants that were formerly Bleichroeder private placement warrants held in his personal capacity. The New Pasqal Ordinary Shares disclosed for ASG 2019 IRRV TR consist of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 Mr. Gundlach was formerly CEO and executive chairman of Bleichroeder Acquisition Corp. II and is currently a director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shares disclosed for MC Advisory L.L.C.- FZ consist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 Mr. Combes was the co-founder of Bleichroeder Acquisition Corp. II and is the lead independent director of the New Pasqal board of directors.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Securities registered hereby consists of (i) 2,000,000 New Pasqal Ordinary Shares, (ii) 1,000,000 New Pasqal Ordinary Shares underlying New Pasqal Warrants that were formerly Bleichoeder private placement warrants, (iii) 12,383,179 shares of New Pasqal Ordinary Shares estimated to be issued to Inflection Point Fund pursuant to the terms of the Senior Unsecured Convertible Bond it holds, assuming a conversion price of $7.80, (iv) 11,017,628 shares of New Pasqal Ordinary Shares issuable upon exercise of the Investment Warrants and (v) 1,000,000 Private Placement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In connection with the March 2026 Financing, certain investors led by Inflection Point Fund had the right to designate a nominee to be included as one of the directors that Bleichroeder was entitled to designate to the New Pasqal Board under the Business Combination Agreement. Michael Blitzer, the founder and managing partner of Inflection Point Asset Management LLC, serves as a director of New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Securities registered hereby consists of (i) 1,875,000 New Pasqal Ordinary Shares held of record by Science &amp; Technology Partners Master, L.P., (ii) 1,000,000 New Pasqal Ordinary Shares underlying New Pasqal Warrants held of record by Science &amp; Technology Partners Master, L.P. that were formerly Bleichoeder private placement warrants, (iii) 1,125,744 shares of New Pasqal Ordinary Shares estimated to be issued to Science &amp; Technology Partners, L.P. pursuant to the terms of the Senior Unsecured Convertible Bond it holds, assuming a conversion price of $7.80, (iv) 1,001,603 shares of New Pasqal Ordinary Shares issuable upon exercise of the Investment Warrants and (v) 1,000,000 Private Placement Warrants. The address of Science &amp; Technology Partners Master, L.P. is 660 Steamboat Rd, Greenwich, CT 06830.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Ordinary Shares registered hereby consists of (i) 125,000 New Pasqal Ordinary Shares held of record by Continental General Insurance Company, (ii) 7,880,205 shares of New Pasqal Ordinary Shares estimated to be issued to Continental General Insurance Company pursuant to the terms of the Senior Unsecured Convertible Bond it holds, assuming a conversion price of $7.80 and (iv) 7,011,218 shares of New Pasqal Ordinary Shares issuable upon exercise of the Investment Warrants. The beneficial ownership described herein includes 666,666 New Pasqal Ordinary Shares underlying 666,666 Public Warrants. Continental General Insurance Company (CGIC) is wholly owned by Continental Insurance Group LTD. (CIG). CIG is wholly owned by Continental General Holdings LLC (CGH). CGH is wholly owned by Michael Gorzynski. The address of CGIC is 11001 Lakeline Blvd., Ste. 120, Austin, Texas 78717.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Mr. Padulla was the CEO of Bleichroeder Acquisition Corp. II, which merged with and into New Pasqal in connection with the Business Combination. Consists of 300,000 New Pasqal Ordinary Shares which Mr. Padulla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Mr. Folino was the CFO of Bleichroeder Acquisition Corp. II, which merged with and into New Pasqal in connection with the Business Combination. Consists of 200,000 New Pasqal Ordinary Shares which Mr. Folino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Ms. Savitt was a director of Bleichroeder Acquisition Corp. II, which merged with and into New Pasqal in connection with the Business Combination. Consists of 30,000 New Pasqal Ordinary Shares which Ms. Savitt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Mr. Theysset was a director of Bleichroeder Acquisition Corp. II, which merged with and into New Pasqal in connection with the Business Combination. Consists of 15,000 New Pasqal Ordinary Shares which Mr. Theysset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Ms. Rasigni was a director of Bleichroeder Acquisition Corp. II, which merged with and into New Pasqal in connection with the Business Combination. Consists of 15,000 New Pasqal Ordinary Shares which Ms. Rasigni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Encore Issuances S.A. acting in respect of its Compartment 204 is the beneficial owner of the securities to be sold and it holds the securities of record and has voting power and investment power in respect of them. The address of Encore is 28, Boulevard F.W. Raiffeisen L-2411 Luxembourg, Grand Duchy of Luxembourg.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Number of Ordinary Shares being registered for sale hereby represents 137,500 Ordinary Shares that are issuable upon the exercise of New Pasqal Warrants that were formerly Bleichroeder private placement warrants. Number of warrants being registered for sale hereby represents 137,500 New Pasqal Warrants that were formerly Bleichroeder private placement warrants. Clear Street is a registered broker dealer and has informed the Company that it does not have any written or oral agreement or understanding, directly or indirectly, with any person to distribute any Ordinary Shares. The principal address of Clear Street is: 4 World Trade Center, 150 Greenwich St., Floor 45, New York, NY 10007.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business address of Mr. Salloum is 34 Chemin des Rubiettes, 1222 Vesenaz, Switzerland.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The business address of Mr. Martellini is 66 chemin de la Brague 06410 Biot,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The business address of S.A.G.E.S. (Société Auxiliaire de gestion) is 16 rue Valentin Hauy, 63000 Clermont Ferrand,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business address of Mr. Claffey is 12 Fisher Road Truro, MA 02666.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business address of the Denise and Michael Kellen Foundation, Inc. is 1345 Avenue of the Americas, 47th Floor New York, NY 10105.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The beneficial ownership described herein reflects an aggregate of 10,938,371 New Pasqal Ordinary Shares underlying the Senior Unsecured Convertible Bonds and the Investment Warrants (rather than the 29,296,874 New Pasqal Ordinary Shares underlying the Senior Unsecured Convertible Bond and Investment Warrants assuming the initial conversion price of $12.00) as the Senior Unsecured Convertible Bonds and the Investment Warrants are subject to certain beneficial ownership restrictions which include a 4.9% blocker which, for the avoidance of doubt, can be increased or decreased from time to time upon notice to the Company, with such increase or decrease becoming effective upon the 61st day after such notice is delivered to the Company. The Ordinary Shares registered hereby consist of (i) 28,143,590 shares of New Pasqal Ordinary Shares estimated to be issued pursuant to the terms of the Senior Unsecured Convertible Bond, assuming a conversion price of $7.80 and (iv) 25,040,064 shares of New Pasqal Ordinary Shares issuable upon exercise of the Investment Warrants assuming a conversion price of $7.80. The address of the Selling Shareholder is c/o Maples Corporate Services Limited, P.O. Box 309, Ugland House, South Church Street, George Town, Grand Cayman, KY1-1104 Cayman Islands, British West Indies.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Ordinary Shares registered hereby consists of (i) 4,502,974 shares of New Pasqal Ordinary Shares estimated to be issued to Alto Opportunity Master Fund, SPC — Segregated Master Portfolio B pursuant to the terms of the Senior Unsecured Convertible Bond it holds, assuming a conversion price of $7.80 and (iv) 4,006,410 shares of New Pasqal Ordinary Shares issuable upon exercise of the Investment Warrants. The Senior Unsecured Convertible Bonds and the Investment Warrants are subject to certain beneficial ownership restrictions which include a 9.9% blocker which, for the avoidance of doubt, can be increased or decreased from time to time upon notice to the Company, with such increase or decrease becoming effective upon the 61st day after such notice is delivered to the Company.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address of the Selling Shareholder is c/o Ayrton Capital, LP, 55 Post Rd West, 2nd Floor, Westport, CT 06880.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(31)    Number of Ordinary Shares being registered for sale hereby represents 2,612,500 Ordinary Shares that are issuable upon the exercise of New Pasqal Warrants that were formerly Bleichroeder private placement warrants. Number of warrants being registered for sale hereby represents 2,612,500 New Pasqal Warrants that were formerly Bleichroeder private placement warrants. Cohen &amp; Company Securities, LLC (“CCS”) is the record owner of the Securities. Jerry Serowik, Senior Managing Director, Head of Cohen &amp; Company Capital Markets (“CCM”), a division of Cohen &amp; Company Securities, LLC, has investment control over the Securities, exercises voting and/or dispositive power over the shares held by CCS. Mr. Serowik disclaims beneficial ownership over any securities held by the Selling Shareholder in which he does not have any pecuniary interest. CCS is a registered broker dealer and has informed the Company that it does not have any written or oral agreement or understanding, directly or indirectly, with any person to distribute any Ordinary Shares. The principal address of Cohen &amp; Company Securities, LLC is: 2929 Arch Street, Suite 1703, Philadelphia PA, 19104, United States.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17"/>
      <w:bookmarkEnd w:id="17"/>
      <w:r>
        <w:rPr>
          <w:rFonts w:ascii="Times New Roman PS Std;serif" w:hAnsi="Times New Roman PS Std;serif"/>
          <w:b/>
          <w:i w:val="false"/>
          <w:caps w:val="false"/>
          <w:smallCaps w:val="false"/>
          <w:sz w:val="20"/>
        </w:rPr>
        <w:t xml:space="preserve">DESCRIPTION OF OUR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Your rights as shareholders of New Pasqal will be governed by the laws of France and the New Pasqal’s Articles of Association. The following description of the material terms of New Pasqal’s share capital, including Ordinary Shares issued in the Business Combination, reflects the state of affairs upon completion of the Business Combination. We urge you to read the applicable provisions of French law and New Pasqal’s Articles of Association carefully and in their entirety because they describe your rights as a holder of Ordinary Shares.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New Pasqal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Pasqal’s Articles of Association provide that the share capital is divided into New Pasqal Ordinary Shares with a par value of approximately €0.02 per share, fully paid up. As of the date hereof, there were 212,293,691 Ordinary Shares outstanding. All shares presently issued are fully paid. In connection with the Business Combination, Bleichroeder shareholders approved a delegation of authority to the New Pasqal Board, to (i) increase or decrease New Pasqal’s authorized share capital, for a period of up to twenty-six (26) months following the Closing, and (ii) reduce the par value of the New Pasqal Ordinary Shares, for a period of up to twelve (12) months following the Closing, in each case subject to applicable French law and the limitations set forth in the New Pasqal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law, each holder of a New Pasqal Ordinary Share shall be entitled to vote on each matter submitted to a vote of shareholders and shall be entitled to one (1) vote for each New Pasqal Ordinary Share held of record by such holder as of the record date for determining shareholders entitled to vote on such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or the New Pasqal Articles of Association, each holder of a New Pasqal Ordinary Share shall be entitled to one vote per share at all general meetings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and the New Pasqal Articles of Association currently do not impose any limitations on the rights of persons who are not residents of France to hold or vote shares solely as a result of such non-resident status.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general meeting of shareholders may grant each shareholder, for all or part of any dividend to be distributed, the option of receiving payment in cash or shares, in accordance with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balance sheet prepared during or at the end of the financial year and certified by an auditor shows that New Pasqal, since the close of the previous financial year, after setting aside the necessary depreciation and provisions, and after deducting any prior losses and amounts to be allocated to reserves in accordance with applicable laws, regulations, or the bylaws, and taking into account retained earnings, has made a profit, interim dividends may be distributed before the financial statements for the year are approved. The amount of these advance payments cannot exceed the amount of the profit as defined above.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Liquidation and Dissolution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legal provisions, New Pasqal is in liquidation from the moment of its dissolution, regardless of the cause. The shareholders’ general meeting then determines the liquidation procedure and appoints the liquidator(s). New Pasqal’s legal personality continues for the purposes of its liquidation, until its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settlement of liabilities and reimbursement of capital, and in accordance with French law, any surplus shall be distributed among shareholders pro rata to their rights to profits, unless otherwise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immediately prior to the Reincorporation Merger Effective Time, the Warrant Agreement dated January 7, 2026, by and between Bleichroeder and Continental Stock Transfer &amp; Trust Company was amended (the “</w:t>
      </w:r>
      <w:r>
        <w:rPr>
          <w:rFonts w:ascii="Times New Roman PS Std;serif" w:hAnsi="Times New Roman PS Std;serif"/>
          <w:b/>
          <w:i w:val="false"/>
          <w:caps w:val="false"/>
          <w:smallCaps w:val="false"/>
          <w:sz w:val="20"/>
        </w:rPr>
        <w:t>Warrant Amendment Agreement</w:t>
      </w:r>
      <w:r>
        <w:rPr>
          <w:rFonts w:ascii="Times New Roman PS Std;serif" w:hAnsi="Times New Roman PS Std;serif"/>
          <w:b w:val="false"/>
          <w:i w:val="false"/>
          <w:caps w:val="false"/>
          <w:smallCaps w:val="false"/>
          <w:sz w:val="20"/>
        </w:rPr>
        <w:t>”) to include New Pasqal, as successor in interest to Bleichroeder, to include Computershare Inc. and Computershare Trust Company, N.A. as successor warrant agent, and to provide that each whole warrant under the Warrant Amendment Agreement (a “</w:t>
      </w:r>
      <w:r>
        <w:rPr>
          <w:rFonts w:ascii="Times New Roman PS Std;serif" w:hAnsi="Times New Roman PS Std;serif"/>
          <w:b/>
          <w:i w:val="false"/>
          <w:caps w:val="false"/>
          <w:smallCaps w:val="false"/>
          <w:sz w:val="20"/>
        </w:rPr>
        <w:t>New Pasqal Warrant</w:t>
      </w:r>
      <w:r>
        <w:rPr>
          <w:rFonts w:ascii="Times New Roman PS Std;serif" w:hAnsi="Times New Roman PS Std;serif"/>
          <w:b w:val="false"/>
          <w:i w:val="false"/>
          <w:caps w:val="false"/>
          <w:smallCaps w:val="false"/>
          <w:sz w:val="20"/>
        </w:rPr>
        <w:t>”) entitles the registered New Pasqal Warrant holder to purchase one New Pasqal Ordinary Share at a price of $11.50 per share, subject to adjustment.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Pasqal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outstanding an aggregate of 17,333,333 New Pasqal Warrants issued by New Pasqal in accordance with the laws of France that govern security issuances by French companies, which replaced the 9,583,333 Bleichroeder public warrants and 7,750,000 Bleichroeder private placement warrants that were outstanding prior to the consummation of the Business Combination. The New Pasqal Warrants are governed by the laws of the State of New York.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may be exercised during the exercise period (the “</w:t>
      </w:r>
      <w:r>
        <w:rPr>
          <w:rFonts w:ascii="Times New Roman PS Std;serif" w:hAnsi="Times New Roman PS Std;serif"/>
          <w:b/>
          <w:i w:val="false"/>
          <w:caps w:val="false"/>
          <w:smallCaps w:val="false"/>
          <w:sz w:val="20"/>
        </w:rPr>
        <w:t>Exercise Period</w:t>
      </w:r>
      <w:r>
        <w:rPr>
          <w:rFonts w:ascii="Times New Roman PS Std;serif" w:hAnsi="Times New Roman PS Std;serif"/>
          <w:b w:val="false"/>
          <w:i w:val="false"/>
          <w:caps w:val="false"/>
          <w:smallCaps w:val="false"/>
          <w:sz w:val="20"/>
        </w:rPr>
        <w:t>”) commencing on the date that is thirty (30) days following the consummation of the Business Combination, and terminating on the earliest to occur of (x) 5:00 p.m., New York City time on the date that is five (5) years after the date on which the Business Combination is consummated, (y) the liquidation of New Pasqal, and (z) with respect to a redemption, 5:00 p.m., New York City time on the redemption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warrants for cash when the price per ordinary share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the New Pasqal Warrants become exercisable, New Pasqal may, at its option, redeem the outstanding New Pasqal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New Pasqal Warrant, in the case of a cash redemption;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to each warrant holder (the “</w:t>
      </w:r>
      <w:r>
        <w:rPr>
          <w:rFonts w:ascii="Times New Roman PS Std;serif" w:hAnsi="Times New Roman PS Std;serif"/>
          <w:b/>
          <w:i w:val="false"/>
          <w:caps w:val="false"/>
          <w:smallCaps w:val="false"/>
          <w:sz w:val="20"/>
        </w:rPr>
        <w:t>Redemption Period</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New Pasqal Ordinary Shares equals or exceeds $18.00 per share (as adjusted for stock splits, stock dividends, reorganizations and recapitalizations), for any 20 trading days within a 30 trading day period commencing at least 30 days after the completion of the Business Combination and ending on the third trading day prior to the date on which notice of redemption is given (the “</w:t>
      </w:r>
      <w:r>
        <w:rPr>
          <w:rFonts w:ascii="Times New Roman PS Std;serif" w:hAnsi="Times New Roman PS Std;serif"/>
          <w:b/>
          <w:i w:val="false"/>
          <w:caps w:val="false"/>
          <w:smallCaps w:val="false"/>
          <w:sz w:val="20"/>
        </w:rPr>
        <w:t>Measurement Period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exercise the New Pasqal Warrants will be forfeited unless the New Pasqal Warrants are exercised prior to the redemption date. On and after the redemption date, a record holder of a New Pasqal Warrant will have no further rights except to receive the redemption price for such holder’s New Pasqal Warrant upon surrender of such New Pasqal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redeem New Pasqal Warrants as described above unless (i) a registration statement under the Securities Act covering the sale of the New Pasqal Ordinary Shares issuable upon exercise of New Pasqal Warrants is effective and a current prospectus relating to those New Pasqal Ordinary Shares is available throughout the Measurement Period and the 30-day redemption period or (ii) we require holders to exercise the New Pasqal Warrants on a “cashless basis”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New Pasqal elects to redeem all New Pasqal Warrants on a “cashless basis,” each holder will be required to surrender their New Pasqal Warrants in exchange for the number of New Pasqal Ordinary Shares equal to the quotient obtained by dividing (x) the product of the number of New Pasqal Ordinary Shares underlying the New Pasqal Warrants, multiplied by the excess of the “Fair Market Value” (as defined below), over the warrant price by (y) the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Value. “Fair Market Value” means the average reported closing price of the New Pasqal Ordinary Shares for the ten trading days ending on the third trading day prior to the date on which the notice of redemption is sent to New Pasqal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foregoing conditions are satisfied and New Pasqal issues a notice of redemption of the New Pasqal Warrants, each New Pasqal Warrant holder will be entitled to exercise his, her or its New Pasqal Warrant at any time prior to the redemption date. However, the price of the New Pasqal Ordinary Shares may fall below the $18.00 redemption trigger price (as may be adjusted for adjustments to the number of shares issuable upon exercise or the exercise price of a New Pasqal Warrant), as well as below the $11.50 (for whole shares) New Pasqal Warrant exercise price, after the redemption notice is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New Pasqal Ordinary Shares will be issued upon exercise. If, upon exercise, a holder would be entitled to receive a fractional interest in a share, New Pasqal will round down to the nearest whole number of the number of New Pasqal Ordinary Shares to be issued to the holder. If, at the time of redemption, New Pasqal Warrants are exercisable for a security other than the New Pasqal Ordinary Shares pursuant to the Warrant Agreement as amended by the Warrant Amendment Agreement (for instance, if New Pasqal is not the surviving company in a merger), the New Pasqal Warrants may be exercised for such security. At such time as the New Pasqal Warrants become exercisable for a security other than the New Pasqal Ordinary Shares, New Pasqal (or the surviving company) will use its commercially reasonable efforts to register under the Securities Act the securities issuable upon the exercise of the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Procedures at the option of a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New Pasqal Warrant may notify New Pasqal in writing in the event it elects not to effect the exercise of such holder’s New Pasqal Warrant if giving effect to such exercise would result in such holder (together with its affiliates) or any “group” of which the holder or its affiliate is a member, would beneficially own more than 4.9% or 9.9% of the New Pasqal Ordinary Shares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Anti-Dilution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1.      </w:t>
      </w:r>
      <w:r>
        <w:rPr>
          <w:rFonts w:ascii="Times New Roman PS Std;serif" w:hAnsi="Times New Roman PS Std;serif"/>
          <w:b w:val="false"/>
          <w:i/>
          <w:caps w:val="false"/>
          <w:smallCaps w:val="false"/>
          <w:sz w:val="20"/>
          <w:u w:val="single"/>
        </w:rPr>
        <w:t>Share Capitalizations; Sub-division</w:t>
      </w:r>
      <w:r>
        <w:rPr>
          <w:rFonts w:ascii="Times New Roman PS Std;serif" w:hAnsi="Times New Roman PS Std;serif"/>
          <w:b w:val="false"/>
          <w:i w:val="false"/>
          <w:caps w:val="false"/>
          <w:smallCaps w:val="false"/>
          <w:sz w:val="20"/>
        </w:rPr>
        <w:t>.    If the number of outstanding New Pasqal Ordinary Shares is increased by a share capitalization payable in New Pasqal Ordinary Shares, or by a sub-division of New Pasqal Ordinary Shares or other similar event, then on the effective date of such event, the number of New Pasqal Ordinary Shares issuable on exercise of each New Pasqal Warrant will increase in proportion to such increase in the outstanding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2.      </w:t>
      </w:r>
      <w:r>
        <w:rPr>
          <w:rFonts w:ascii="Times New Roman PS Std;serif" w:hAnsi="Times New Roman PS Std;serif"/>
          <w:b w:val="false"/>
          <w:i/>
          <w:caps w:val="false"/>
          <w:smallCaps w:val="false"/>
          <w:sz w:val="20"/>
          <w:u w:val="single"/>
        </w:rPr>
        <w:t>Aggregation of Shares</w:t>
      </w:r>
      <w:r>
        <w:rPr>
          <w:rFonts w:ascii="Times New Roman PS Std;serif" w:hAnsi="Times New Roman PS Std;serif"/>
          <w:b w:val="false"/>
          <w:i w:val="false"/>
          <w:caps w:val="false"/>
          <w:smallCaps w:val="false"/>
          <w:sz w:val="20"/>
        </w:rPr>
        <w:t>.    If the number of outstanding New Pasqal Ordinary Shares is decreased by a consolidation, combination, reverse share sub-division or reclassification of New Pasqal Ordinary Shares or other similar event, then, on the effective date of such consolidation, combination, reverse share sub-division, reclassification or similar event, the number of New Pasqal Ordinary Shares issuable on exercise of each New Pasqal Warrant will decrease in proportion to such decrease in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3.      </w:t>
      </w:r>
      <w:r>
        <w:rPr>
          <w:rFonts w:ascii="Times New Roman PS Std;serif" w:hAnsi="Times New Roman PS Std;serif"/>
          <w:b w:val="false"/>
          <w:i/>
          <w:caps w:val="false"/>
          <w:smallCaps w:val="false"/>
          <w:sz w:val="20"/>
          <w:u w:val="single"/>
        </w:rPr>
        <w:t>Extraordinary Dividends</w:t>
      </w:r>
      <w:r>
        <w:rPr>
          <w:rFonts w:ascii="Times New Roman PS Std;serif" w:hAnsi="Times New Roman PS Std;serif"/>
          <w:b w:val="false"/>
          <w:i w:val="false"/>
          <w:caps w:val="false"/>
          <w:smallCaps w:val="false"/>
          <w:sz w:val="20"/>
        </w:rPr>
        <w:t>.    If New Pasqal, at any time while the New Pasqal Warrants are outstanding and unexpired, pays a dividend or make a distribution in cash, securities or other assets to all or substantially all of the holders of New Pasqal Ordinary Shares other than (a) as described in subsection 1 above or (b) Ordinary Cash Dividends (as defined below) (any such non-excluded event being referred to herein as an “</w:t>
      </w:r>
      <w:r>
        <w:rPr>
          <w:rFonts w:ascii="Times New Roman PS Std;serif" w:hAnsi="Times New Roman PS Std;serif"/>
          <w:b/>
          <w:i/>
          <w:caps w:val="false"/>
          <w:smallCaps w:val="false"/>
          <w:sz w:val="20"/>
        </w:rPr>
        <w:t>Extraordinary Dividend</w:t>
      </w:r>
      <w:r>
        <w:rPr>
          <w:rFonts w:ascii="Times New Roman PS Std;serif" w:hAnsi="Times New Roman PS Std;serif"/>
          <w:b w:val="false"/>
          <w:i w:val="false"/>
          <w:caps w:val="false"/>
          <w:smallCaps w:val="false"/>
          <w:sz w:val="20"/>
        </w:rPr>
        <w:t>”), then the warrant price shall be decreased, effective immediately after the effective date of such Extraordinary Dividend, by the amount of cash and/or the fair market value (as determined by the Board, in good faith) of any securities or other assets paid on each New Pasqal Ordinary Share in respect of such Extraordinary Dividend. “</w:t>
      </w:r>
      <w:r>
        <w:rPr>
          <w:rFonts w:ascii="Times New Roman PS Std;serif" w:hAnsi="Times New Roman PS Std;serif"/>
          <w:b/>
          <w:i w:val="false"/>
          <w:caps w:val="false"/>
          <w:smallCaps w:val="false"/>
          <w:sz w:val="20"/>
        </w:rPr>
        <w:t>Ordinary Cash Dividends</w:t>
      </w:r>
      <w:r>
        <w:rPr>
          <w:rFonts w:ascii="Times New Roman PS Std;serif" w:hAnsi="Times New Roman PS Std;serif"/>
          <w:b w:val="false"/>
          <w:i w:val="false"/>
          <w:caps w:val="false"/>
          <w:smallCaps w:val="false"/>
          <w:sz w:val="20"/>
        </w:rPr>
        <w:t>” means any cash dividend or cash distribution which, when combined on a per share basis, with the per share amounts of all other cash dividends and cash distributions paid on the New Pasqal Ordinary Shares during the 365-day period ending on the date of declaration of such dividend or distribution (as adjusted pursuant to the Warrant Agreement) does not exceed $0.50 (being 5% of the offering price of the Units in the IPO) but only with respect to the amount of the aggregate cash dividends or cash distributions equal to or less than $0.50.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purposes of illustration, if New Pasqal, at a time while New Pasqal Warrants are outstanding and unexpired, pays a cash dividend of $0.35 and previously paid an aggregate of $0.40 of cash dividends and cash distributions on the New Pasqal Ordinary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4.      </w:t>
      </w:r>
      <w:r>
        <w:rPr>
          <w:rFonts w:ascii="Times New Roman PS Std;serif" w:hAnsi="Times New Roman PS Std;serif"/>
          <w:b w:val="false"/>
          <w:i/>
          <w:caps w:val="false"/>
          <w:smallCaps w:val="false"/>
          <w:sz w:val="20"/>
          <w:u w:val="single"/>
        </w:rPr>
        <w:t>Adjustments in Exercise Price</w:t>
      </w:r>
      <w:r>
        <w:rPr>
          <w:rFonts w:ascii="Times New Roman PS Std;serif" w:hAnsi="Times New Roman PS Std;serif"/>
          <w:b w:val="false"/>
          <w:i w:val="false"/>
          <w:caps w:val="false"/>
          <w:smallCaps w:val="false"/>
          <w:sz w:val="20"/>
        </w:rPr>
        <w:t>.    Whenever the number of New Pasqal Ordinary Shares purchasable upon the exercise of New Pasqal Warrants is adjusted, as provided in paragraphs 1 and 2 above, the warrant price shall be adjusted (to the nearest cent) by multiplying such warrant price immediately prior to such adjustment by a fraction (x) the numerator of which shall be the number of New Pasqal Ordinary Shares purchasable upon the exercise of New Pasqal Warrants immediately prior to such adjustment, and (y) the denominator of which shall be the number of New Pasqal Ordinary Shares so purchasable immediately thereafter.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5.      </w:t>
      </w:r>
      <w:r>
        <w:rPr>
          <w:rFonts w:ascii="Times New Roman PS Std;serif" w:hAnsi="Times New Roman PS Std;serif"/>
          <w:b w:val="false"/>
          <w:i/>
          <w:caps w:val="false"/>
          <w:smallCaps w:val="false"/>
          <w:sz w:val="20"/>
          <w:u w:val="single"/>
        </w:rPr>
        <w:t>Replacement of Securities upon Reorganization, etc</w:t>
      </w:r>
      <w:r>
        <w:rPr>
          <w:rFonts w:ascii="Times New Roman PS Std;serif" w:hAnsi="Times New Roman PS Std;serif"/>
          <w:b w:val="false"/>
          <w:i w:val="false"/>
          <w:caps w:val="false"/>
          <w:smallCaps w:val="false"/>
          <w:sz w:val="20"/>
        </w:rPr>
        <w:t>.    In case of any reclassification or reorganization of the outstanding New Pasqal Ordinary Shares (other than a change covered by paragraphs 1, 2 or 3 above or that solely affects the par value of the New Pasqal Ordinary Shares), or in the case of any merger or consolidation of New Pasqal with or into another entity or conversion of New Pasqal as another entity (other than a consolidation or merger in which New Pasqal is the continuing corporation and is not a subsidiary of another entity whose shareholders did not own all or substantially all of the New Pasqal Ordinary Shares in substantially the same proportions immediately before such transaction and that does not result in any classification or reorganization of the outstanding New Pasqal Ordinary Shares), or in the case of any sale or conveyance to another corporation or entity of the assets or other property of New Pasqal as an entirety or substantially as an entirety in connection with which New Pasqal is dissolved, the holders of the New Pasqal Warrants shall thereafter have the right to purchase and receive, upon the basis and upon the terms and conditions specified in the New Pasqal Warrants and in lieu of the New Pasqal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New Pasqal Warrants would have received if such holder had exercised his, her or its New Pasqal Warrant(s) immediately prior to such event (the “</w:t>
      </w:r>
      <w:r>
        <w:rPr>
          <w:rFonts w:ascii="Times New Roman PS Std;serif" w:hAnsi="Times New Roman PS Std;serif"/>
          <w:b/>
          <w:i w:val="false"/>
          <w:caps w:val="false"/>
          <w:smallCaps w:val="false"/>
          <w:sz w:val="20"/>
        </w:rPr>
        <w:t>Alternative Issuance</w:t>
      </w:r>
      <w:r>
        <w:rPr>
          <w:rFonts w:ascii="Times New Roman PS Std;serif" w:hAnsi="Times New Roman PS Std;serif"/>
          <w:b w:val="false"/>
          <w:i w:val="false"/>
          <w:caps w:val="false"/>
          <w:smallCaps w:val="false"/>
          <w:sz w:val="20"/>
        </w:rPr>
        <w:t xml:space="preserve">”). If any reclassification or reorganization also results in a change in New Pasqal Ordinary Shares covered by </w:t>
      </w:r>
      <w:r>
        <w:rPr>
          <w:rFonts w:ascii="Times New Roman PS Std;serif" w:hAnsi="Times New Roman PS Std;serif"/>
          <w:b w:val="false"/>
          <w:i w:val="false"/>
          <w:caps w:val="false"/>
          <w:smallCaps w:val="false"/>
          <w:sz w:val="20"/>
          <w:u w:val="single"/>
        </w:rPr>
        <w:t>paragraphs 1 and 2, then such adjustment shall be made pursuant to paragraph 1, 2, 3, 4</w:t>
      </w:r>
      <w:r>
        <w:rPr>
          <w:rFonts w:ascii="Times New Roman PS Std;serif" w:hAnsi="Times New Roman PS Std;serif"/>
          <w:b w:val="false"/>
          <w:i w:val="false"/>
          <w:caps w:val="false"/>
          <w:smallCaps w:val="false"/>
          <w:sz w:val="20"/>
        </w:rPr>
        <w:t xml:space="preserve"> and this paragraph 5. The provisions of this </w:t>
      </w:r>
      <w:r>
        <w:rPr>
          <w:rFonts w:ascii="Times New Roman PS Std;serif" w:hAnsi="Times New Roman PS Std;serif"/>
          <w:b w:val="false"/>
          <w:i w:val="false"/>
          <w:caps w:val="false"/>
          <w:smallCaps w:val="false"/>
          <w:sz w:val="20"/>
          <w:u w:val="single"/>
        </w:rPr>
        <w:t>paragraph 5</w:t>
      </w:r>
      <w:r>
        <w:rPr>
          <w:rFonts w:ascii="Times New Roman PS Std;serif" w:hAnsi="Times New Roman PS Std;serif"/>
          <w:b w:val="false"/>
          <w:i w:val="false"/>
          <w:caps w:val="false"/>
          <w:smallCaps w:val="false"/>
          <w:sz w:val="20"/>
        </w:rPr>
        <w:t xml:space="preserve"> will similarly apply to successive reclassifications, reorganizations, mergers or consolidations, sales or other transfers. In no event will the warrant price be reduced to less than the par value per share issuable upon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was issued in registered form only. All of the New Pasqal Warrants are represented by one or more book-entry certificates.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 Agreement and the Warrant Amendment Agreement may be amended by the parties thereto without the consent of any registered holder (i) for the purpose of (x) curing any ambiguity or to correct any defective provision contained therein, including to conform the provisions therein to the description of the terms of the New Pasqal Warrants, (y) adjusting the definition of “Ordinary Cash Dividend” as contemplated by and in accordance with the second sentence of </w:t>
      </w:r>
      <w:r>
        <w:rPr>
          <w:rFonts w:ascii="Times New Roman PS Std;serif" w:hAnsi="Times New Roman PS Std;serif"/>
          <w:b w:val="false"/>
          <w:i w:val="false"/>
          <w:caps w:val="false"/>
          <w:smallCaps w:val="false"/>
          <w:sz w:val="20"/>
          <w:u w:val="single"/>
        </w:rPr>
        <w:t>subsection 4.1.2</w:t>
      </w:r>
      <w:r>
        <w:rPr>
          <w:rFonts w:ascii="Times New Roman PS Std;serif" w:hAnsi="Times New Roman PS Std;serif"/>
          <w:b w:val="false"/>
          <w:i w:val="false"/>
          <w:caps w:val="false"/>
          <w:smallCaps w:val="false"/>
          <w:sz w:val="20"/>
        </w:rPr>
        <w:t xml:space="preserve"> of the Warrant Agreement or (z) adding or changing any other provisions with respect to matters or questions arising under the Warrant Agreement or the Warrant Amendment Agreement as the parties may deem necessary or desirable and that the parties deem shall not adversely affect the interest of the registered holders, and (ii) to provide for the delivery of an alternative issuance. All other modifications or amendments, including any modification or amendment to increase the warrant price or shorten the exercise period shall require the vote or written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the registered holders of 50% of the number of the then outstanding New Pasqal Warrants and, solely with respect to any amendment to the terms of the New Pasqal Warrants or any provision of the Warrant Agreement or Warrant Amendment Agreement with respect to the New Pasqal Warrants (including, for the avoidance of doubt, the forfeiture or cancellation of any New Pasqal Warrants), 50% of the number of then outstanding New Pasqal Warrants (including the vote or written consent of each underwriter to the IPO). Notwithstanding the foregoing, New Pasqal may lower the warrant price or extend the duration of the exercise period without the consent of the registered 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Exercise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Warrants may be exercised by delivering to Computershare Inc. and Computershare Trust Company, N.A. the warrant certificate evidencing the New Pasqal Warrants to be exercised, or, in the case of a book-entry warrant certificate, the New Pasqal Warrants to be exercised on the records of the depositary to an account of Computershare Inc. and Computershare Trust Company, N.A. at the depositary designated for such proposes in writing by Computershare Inc. and Computershare Trust Company, N.A. to the depositary from time to time, a properly completed and executed election to purchase form and payment in full of the warrant price for each New Pasqal Ordinary Share to which the New Pasqal Warrant is exercised and any and all applicable taxes due in connection with the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Rights as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New Pasqal Warrant does not entitle the registered holder thereof to any of the rights of a shareholder of New Pasqal, including, without limitation, the right to receive dividends, or other distributions, exercise any preemptive rights to vote or to consent or to receive notice as shareholders in respect of the meetings of shareholders or the election of directors of New Pasqal or any other matter.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will not issue fractional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shall not issue fractional shares upon exercise of New Pasqal Warrants. If, by reason of any adjustment, the holder of any New Pasqal Warrant would be entitled, upon the exercise of such New Pasqal Warrant, to receive a fractional interest in a share, New Pasqal shall, upon such exercise, round up to the nearest whole number of New Pasqal Ordinary Shares to be issued to the warrant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which were initially sold as part of the units in Bleichroeder’s IPO, were also replaced, following the consummation of the Business Combination, by New Pasqal Warrants entitling their holders to acquire New Pasqal Ordinary Shares. These private placement warrants have terms and provisions that are identical to those of the public warrants which were initially sold as part of the units in Bleichroeder’s IPO. The private placement warrants, which were purchased by the Sponsor, Cohen and Clear Street, are identical to the public warrants except that, so long as the private placement warrants are held by the Sponsor, or its permitted transferees, the private placement warrants (and the New Pasqal Ordinary Shares issuable upon exercise of the private placement warrants) (i) may not, subject to certain limited exceptions, be transferred, assigned or sold by the holders until 30 days after the completion of our Business Combination, (ii) are entitled to registration rights and (iii) with respect to private placement warrants held by Cohen, Clear Street and/or their designees, will not be exercisable more than five years from the closing of the IPO in accordance with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Rollover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Rollover BSPCEs were assumed by New Pasqal, and grant the right to subscribe for New Pasqal Ordinary Shares, with the number of shares adjusted, as applicable to reflect the Exchange Ratio, on the same terms and conditions as were applicable to the Rollover BSPCEs as of immediately prior to the Merger Effective Time (including vesting, exercise period and expiration date), except as otherwise provided by the French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III.   Senior Unsecured Convertible Bonds and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the accredited investors named therein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entered into a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Pursuant to the March 2026 SPA, the Investors agreed, among other things, subject to certain conditions, to purchase $312.5 million aggregate principal amount of senior unsecured convertible bonds convertible into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warrants to purchase a number of New Pasqal Ordinary Shares equal to 125% of the total number of New Pasqal Ordinary Shares into which the Senior Unsecured Convertible Bonds are initially convertible at Closing (the “</w:t>
      </w:r>
      <w:r>
        <w:rPr>
          <w:rFonts w:ascii="Times New Roman PS Std;serif" w:hAnsi="Times New Roman PS Std;serif"/>
          <w:b/>
          <w:i w:val="false"/>
          <w:caps w:val="false"/>
          <w:smallCaps w:val="false"/>
          <w:sz w:val="20"/>
        </w:rPr>
        <w:t>Investment Warrant</w:t>
      </w:r>
      <w:r>
        <w:rPr>
          <w:rFonts w:ascii="Times New Roman PS Std;serif" w:hAnsi="Times New Roman PS Std;serif"/>
          <w:b w:val="false"/>
          <w:i w:val="false"/>
          <w:caps w:val="false"/>
          <w:smallCaps w:val="false"/>
          <w:sz w:val="20"/>
        </w:rPr>
        <w:t>”), for an aggregate purchase price of $250 million, reflecting a 20% original issue discount (the “</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The closing of the Investment occurred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w:t>
      </w:r>
      <w:r>
        <w:rPr>
          <w:rFonts w:ascii="Times New Roman PS Std;serif" w:hAnsi="Times New Roman PS Std;serif"/>
          <w:b/>
          <w:i w:val="false"/>
          <w:caps w:val="false"/>
          <w:smallCaps w:val="false"/>
          <w:sz w:val="20"/>
        </w:rPr>
        <w:t>Senior Unsecured Convertible Bonds Terms and Conditions</w:t>
      </w:r>
      <w:r>
        <w:rPr>
          <w:rFonts w:ascii="Times New Roman PS Std;serif" w:hAnsi="Times New Roman PS Std;serif"/>
          <w:b w:val="false"/>
          <w:i w:val="false"/>
          <w:caps w:val="false"/>
          <w:smallCaps w:val="false"/>
          <w:sz w:val="20"/>
        </w:rPr>
        <w:t>”),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w:t>
      </w:r>
      <w:r>
        <w:rPr>
          <w:rFonts w:ascii="Times New Roman PS Std;serif" w:hAnsi="Times New Roman PS Std;serif"/>
          <w:b/>
          <w:i w:val="false"/>
          <w:caps w:val="false"/>
          <w:smallCaps w:val="false"/>
          <w:sz w:val="20"/>
        </w:rPr>
        <w:t>Investment Warrants Terms and Conditions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Investment, Bleichroeder and the Sponsor agreed to provide certain investors (the “</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led by Inflection Point, a member of Bleichroeder Manager 2 LLC, the Sponsor’s managing member, the right to designate one individual (the “</w:t>
      </w:r>
      <w:r>
        <w:rPr>
          <w:rFonts w:ascii="Times New Roman PS Std;serif" w:hAnsi="Times New Roman PS Std;serif"/>
          <w:b/>
          <w:i w:val="false"/>
          <w:caps w:val="false"/>
          <w:smallCaps w:val="false"/>
          <w:sz w:val="20"/>
        </w:rPr>
        <w:t>IP Nominee</w:t>
      </w:r>
      <w:r>
        <w:rPr>
          <w:rFonts w:ascii="Times New Roman PS Std;serif" w:hAnsi="Times New Roman PS Std;serif"/>
          <w:b w:val="false"/>
          <w:i w:val="false"/>
          <w:caps w:val="false"/>
          <w:smallCaps w:val="false"/>
          <w:sz w:val="20"/>
        </w:rPr>
        <w:t>”) to be included as one of the directors that Bleichroeder is entitled to designate to the New Pasqal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2026 SPA includes customary representations and warranties from Bleichroeder, Merger Sub and the Investors. The March 2026 SPA also includes customary covenants and agreements related to transfer restrictions, SEC reports, and indemnification. The Senior Unsecured Convertible Bonds may be amended only with the written consent of New Pasqal and bondholders holding a majority of the outstanding aggregate principal amount of the Senior Unsecured Convertible Bonds, or as otherwise required in accordance with the French Commercial Code. Holders of the New Pasqal Ordinary Shares issuable upon conversion of the Investment Warrants are governed by their separate Terms and Conditions and may be amended in accordance with those Terms and Conditions and applicable French law governing bons de souscription d’actions (BSA); the amendment mechanics for the Investment Warrants are separate from, and do not depend on, the consent of holders of the Senior Unsecured Convertible Bonds. Senior Unsecured Convertible Bonds and New Pasqal Ordinary Shares underlying any Investment Warrants have the registration rights set forth in the 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w:t>
      </w:r>
      <w:r>
        <w:rPr>
          <w:rFonts w:ascii="Times New Roman PS Std;serif" w:hAnsi="Times New Roman PS Std;serif"/>
          <w:b w:val="false"/>
          <w:i w:val="false"/>
          <w:caps w:val="false"/>
          <w:smallCaps w:val="false"/>
          <w:sz w:val="20"/>
        </w:rPr>
        <w:t>    Holders of the Senior Unsecured Convertible Bonds shall be organized as a group for the representation of their interests (the “</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The Masse shall be governed by the provisions of the French Commercial Code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will accrue interest at the rate per annum of 10.0% per annum payable in cash semi-annually.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the greater of (i) 100% of the Accrued Value (as defined in the Senior Unsecured Convertible Bonds Terms and Conditions) or (ii) such amount as would have been payable had such Convertible Bond been converted into Ordinary Shares immediately prior to such liquidation, dissolution, winding up or Deemed Liquidation Event based on the then effective rate of conversion and without giving effect to any applicable limitations on conversion. Thereafter, the holders of Senior Unsecured Convertible Bonds will be entitled to receive their pro rata share of the remaining available proceeds available for distribution to shareholders, pro rata based on the number of Ordinary Shares held by each such holder, including all Ordinary Shares converted and all Ordinary Shares issuable upon conversion immediately prior to such liquidation, dissolution or winding up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are held by Inflection Point Asset Management LLC or the other investors in the March 2026 Financing or their respective affiliates, New Pasqal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New Pasqal, or commence or consent to any bankruptcy proceeding relating to the Company; (ii) amend, alter, or repeal any provision of the Company’s bylaws,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must promptly deliver written notice to the bondholders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convertible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the Requisite Holders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the related redemption notice;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 xml:space="preserve">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Investment,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upon prior written notice of redemption if, and only if, the last reported sale price of the New Pasqal Ordinary Shares underlying such Investment Warrants equals or exceeds $18.00 per share for any 20 trading days within a 30-trading day period, subject to certain conditions.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IV.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amount of at least five percent (5%) shall be deducted from the profits for the fiscal year reduced by prior losses, if any, in order to constitute the statutory reserve fund. Such deduction shall cease to be mandatory when the amount in the statutory reserve fund is equal to one-tenth of the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distributable profits are at the disposal of the shareholders, gathered at a shareholders’ general meeting, which, based on a proposal of the Board of Directors, may, in all or in part, carry them forward, transfer them to general or special reserve funds, or distribute them to shareholders in the form of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may decide to distribute amounts withdrawn from the reserve funds at its disposal. In such case, the decision shall expressly state the reserve items from which the withdrawals are made. However, dividends shall first be withdrawn from the distributable profits for the fiscal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 of a share capital reduction, no distribution may be made to shareholders where shareholders’ equity is, or becomes after such distribution, less than the amount of the share capital plus the reserve funds that the law or the by-laws do not authorize to distribute.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resolve that New Pasqal pays out an interim dividend to the shareholders, subject to requirements provided for by French law. In such case, the Board of Directors shall set the amount and the date of payment of the interim dividend.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      Certain Anti-Takeover Provisions of the New Pasqal Articles of Association; Certain Anti-Takeover Provisions of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Articles of Association do not contain any specific anti-takeover provisions. Anti-takeover provisions under French law do not apply to New Pasqal since its shares are not traded on a regulated market in a Member State of the E.U. The French law allows shareholders at general meetings to delegate the authority to the board of directors to issue shares or warrants to subscribe for shares, which may make it more difficult for a shareholder to obtain control over New Pasqal’s general meeting of shareholders.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    Transfer Agent, Warrant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Warrant Agent for New Pasqal’s capital stock is Computershare Inc. New Pasqal has agreed to indemnify Computershare Inc.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  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under the Securities Act (“</w:t>
      </w:r>
      <w:r>
        <w:rPr>
          <w:rFonts w:ascii="Times New Roman PS Std;serif" w:hAnsi="Times New Roman PS Std;serif"/>
          <w:b/>
          <w:i w:val="false"/>
          <w:caps w:val="false"/>
          <w:smallCaps w:val="false"/>
          <w:sz w:val="20"/>
        </w:rPr>
        <w:t>Rule 144</w:t>
      </w:r>
      <w:r>
        <w:rPr>
          <w:rFonts w:ascii="Times New Roman PS Std;serif" w:hAnsi="Times New Roman PS Std;serif"/>
          <w:b w:val="false"/>
          <w:i w:val="false"/>
          <w:caps w:val="false"/>
          <w:smallCaps w:val="false"/>
          <w:sz w:val="20"/>
        </w:rPr>
        <w:t>”), a person who has beneficially owned restricted New Pasqal Ordinary Shares or warrants of New Pasqal for at least six months would be entitled to sell their securities provided that (i) such person is not deemed to have been an affiliate of New Pasqal at the time of, or at any time during the three months preceding, a sale and (ii) New Pasqal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New Pasqal Ordinary Shares or warrants of New Pasqal for at least six months but who are affiliates of New Pasqal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New Pasqal Ordinary Shares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New Pasqal ordinary Shares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New Pasqal under Rule 144 are also limited by manner of sale provisions and notice requirements and by the availability of current public information about New Pasqal.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VIII. 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New Pasqal is no longer a shell company, and so, once the conditions described above are satisfied, Rule 144 will become available for the resale of the above-noted restricted securities.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IX.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A&amp;R Registration Rights Agreement, which amended and restated the Registration Rights Agreement. See “</w:t>
      </w:r>
      <w:r>
        <w:rPr>
          <w:rFonts w:ascii="Times New Roman PS Std;serif" w:hAnsi="Times New Roman PS Std;serif"/>
          <w:b w:val="false"/>
          <w:i/>
          <w:caps w:val="false"/>
          <w:smallCaps w:val="false"/>
          <w:sz w:val="20"/>
        </w:rPr>
        <w:t>Certain Relationships and Related Person Transactions — A&amp;R Registration Rights Agreement</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     Shares Eligible for Future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212,293,691 Ordinary Shares issued and outstanding as of the date of this prospectus. All of the Ordinary Shares issued to holders of Bleichroeder Class A Ordinary Shares in connection with the Business Combination are freely transferable by persons other than by Pasqal “affiliates” without restriction or further registration under the Securities Act. Sales of substantial amounts of Ordinary Shares in the public market could adversely affect prevailing market prices of the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18"/>
      <w:bookmarkEnd w:id="18"/>
      <w:r>
        <w:rPr>
          <w:rFonts w:ascii="Times New Roman PS Std;serif" w:hAnsi="Times New Roman PS Std;serif"/>
          <w:b/>
          <w:i w:val="false"/>
          <w:caps w:val="false"/>
          <w:smallCaps w:val="false"/>
          <w:sz w:val="20"/>
        </w:rPr>
        <w:t xml:space="preserve">MATERIAL TAX CONSIDERATIONS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U.S. Federal Income Tax Considerations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the material U.S. federal income tax consequences to the U.S. Holders (as defined below) described below of owning and disposing of our Ordinary Shares or warrants, which we sometimes refer to collectively as our securities. It is not a comprehensive description of all tax considerations that may be relevant to a particular person’s decision to acquire our securities. This discussion applies only to a U.S. Holder that is an initial purchaser of securities pursuant to the offering and that holds our securities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insurance companies, and certain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 and pension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and certain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in securities or currencies, or who use a mark-to-market method of tax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as part of a hedging transaction, “straddle,” “hedge,” “conversion,” “synthetic security,” “constructive ownership transaction,” “constructive sale” or other integrated transaction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for U.S. federal income tax purposes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dealers or traders in securities, commodities or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(including private foundations) or government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classified for U.S. federal income tax purposes as S corporations, or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or 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trusts and estates;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our securities pursuant to the exercise of any employee stock option or otherwise as compensation, or who otherwise acquired the securities in connection with the performance of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in connection with a trade or business, permanent establishment, or fixed base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own (directly or through attribution) 10% or more (by vote or value) of our outstanding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that is classified as a partnership for U.S. federal income tax purposes holds our securities, the U.S. federal income tax treatment of a partner will generally depend on the status of the partner and the activities of the partnership. Partnerships holding our securities and partners in such partnerships are encouraged to consult their tax advisors as to the particular U.S. federal income tax consequences of holding and disposing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on the Code, administrative pronouncements, judicial decisions, final, temporary and proposed Treasury Regulations, all as of the date hereof, changes to any of which may affect the tax consequences described herein — possibly with retroactive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U.S. Holder</w:t>
      </w:r>
      <w:r>
        <w:rPr>
          <w:rFonts w:ascii="Times New Roman PS Std;serif" w:hAnsi="Times New Roman PS Std;serif"/>
          <w:b w:val="false"/>
          <w:i w:val="false"/>
          <w:caps w:val="false"/>
          <w:smallCaps w:val="false"/>
          <w:sz w:val="20"/>
        </w:rPr>
        <w:t>” is a holder who, for U.S. federal income tax purposes, is a beneficial owner of our securities and 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individual who is a citizen or individual resident of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corporation, or other entity taxable as a corporation, created or organized in or under the laws of the United States, any state therein or the District of Columbia;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estate the income of which is subject to U.S. federal income taxation regardless of its source;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CONSIDERING AN INVESTMENT IN OUR SECURITIES SHOULD CONSULT THEIR OWN TAX ADVISORS AS TO THE PARTICULAR TAX CONSEQUENCES APPLICABLE TO THEM RELATING TO THE ACQUISITION, OWNERSHIP AND DISPOSITION OF THE SECURITIES, INCLUDING THE APPLICABILITY OF U.S. FEDERAL, STATE AND LOCAL TAX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the gross amount of distributions paid on Ordinary Shares, other than certain pro rata distributions of Ordinary Shares, before reduction for any French withholding taxes, will generally be treated as dividends to the extent paid out of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Ordinary Shares. Any remaining excess will be treated as gain realized on the sale or other disposition of the Ordinary Shares and will be treated as described below under “Sale or Other Taxable Disposition of Ordinary Shares.” We generally do not expect to maintain calculations of our earnings and profits under United States federal income tax principles and, therefore, if a U.S. Holder should expect that the entire amount of any distribution generally will be reported as a dividend to such 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amounts treated as dividend income to certain non-corporate U.S. Holders may be taxable at preferential rates applicable to “qualified dividend income” if we are a “qualified foreign corporation” and certain other requirements are met. However, the qualified dividend income treatment will not apply if we are treated as a PFIC (as defined below)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rights to acquire Ordinary Shares) will be the fair market value of such property on the date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foreign tax credit limitation purposes, our dividends will generally be treated as passive category income. The rules governing foreign tax credits are complex and U.S. Holders should therefore consult their tax advisors regarding the effect of the receipt of dividends for foreign tax credit limitation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non-U.S. income taxes withheld from dividends on Ordinary Shares may be eligible for credit against the U.S. Holder’s U.S. federal income tax liability. The U.S. tax rules governing eligibility for foreign tax credits are complex and U.S. Holders are urged to consult their tax advisors regarding the creditability of foreign taxes withheld with respect to dividends or other distributions on Ordinary Shares in their particular circumstances. In lieu of claiming a foreign tax credit, a U.S. Holder may deduct foreign taxes in computing their taxable income, subject to generally applicable limitations under U.S. law. An election to deduct foreign taxes instead of claiming foreign tax credits applies to all foreign taxes paid or accrued in the taxable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Taxable Disposition of Ordinary Shares 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gain or loss realized on the sale or other taxable disposition of our securities will be capital gain or loss, and will be long-term capital gain or loss if the U.S. Holder held the securities for more than one year at the time of sale or other taxable disposition. The amount of the gain or loss will equal the difference between the U.S. Holder’s tax basis in the securities disposed of and the amount realized on the disposition, in each case as determined in U.S. dollars. This gain or loss will generally be U.S.-source gain or loss for foreign tax credit purposes. Subject to the PFIC rules described below, long-term capital gains recognized by certain non-corporate U.S. Holders (including individuals) will generally be subject to reduced rates of U.S. federal income tax. The deductibility of capital losses is subject to limitations.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Exercise or Lapse of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our Ordinary Shares received upon exercise of the warrant will generally be an amount equal to the sum of the U.S. Holder’s acquisition cost of the warrant and the exercise price of such warrant. It is unclear whether a U.S. Holder’s holding period for the Ordinary Shares received upon exercise of the warrant would commence on the date of exercise of the warrant or the day following the date of exercise of the warrant; however, in either case the holding period will not include the period during which the U.S. Holder held the warrants. If a warrant is allowed to lapse unexercised, a U.S. Holder generally will recognize a capital loss equal to such holder’s tax basis in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a cashless exercise of a warrant are not clear under current U.S. federal tax law. A cashless exercise may be nontaxable, either because the exercise is not a realization event or because the exercise is treated as a recapitalization for U.S. federal income tax purposes. In either situation, a U.S. Holder’s initial tax basis in the Ordinary Shares received generally should equal the holder’s adjusted tax basis in the warrant. If the cashless exercise were treated as not being a realization event,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Ordinary Shares generally would include the holding period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Ordinary Shares received would equal the sum of the exercise price and the U.S. holder’s adjusted tax basis in the warrants exercised.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Ordinary Shares received, U.S. Holders are urged to consult their tax advisors regarding the tax consequences of a cashless exercise.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passive foreign investment company under Section 1297 of the Code (a “</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will be classified as a PFIC for any taxable year in which, after applying certain look-through rules,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is passive income (the “</w:t>
      </w:r>
      <w:r>
        <w:rPr>
          <w:rFonts w:ascii="Times New Roman PS Std;serif" w:hAnsi="Times New Roman PS Std;serif"/>
          <w:b/>
          <w:i w:val="false"/>
          <w:caps w:val="false"/>
          <w:smallCaps w:val="false"/>
          <w:sz w:val="20"/>
        </w:rPr>
        <w:t>Income Test</w:t>
      </w:r>
      <w:r>
        <w:rPr>
          <w:rFonts w:ascii="Times New Roman PS Std;serif" w:hAnsi="Times New Roman PS Std;serif"/>
          <w:b w:val="false"/>
          <w:i w:val="false"/>
          <w:caps w:val="false"/>
          <w:smallCaps w:val="false"/>
          <w:sz w:val="20"/>
        </w:rPr>
        <w: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its gross assets (determined on the basis of a quarterly average) is attributable to assets that produce passive income or are held for the production of passive income (the “</w:t>
      </w:r>
      <w:r>
        <w:rPr>
          <w:rFonts w:ascii="Times New Roman PS Std;serif" w:hAnsi="Times New Roman PS Std;serif"/>
          <w:b/>
          <w:i w:val="false"/>
          <w:caps w:val="false"/>
          <w:smallCaps w:val="false"/>
          <w:sz w:val="20"/>
        </w:rPr>
        <w:t>Asset Test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for this purpose generally includes dividends, interest, royalties, rents, gains from commodities and securities transactions, and the excess of gains over losses from the disposition of assets which produce passive income.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uncertain whether we or any of our subsidiaries will be treated as a PFIC for U.S. federal income tax purposes for the current or any subsequent tax year. The determination of whether we are a PFIC is a fact-intensive determination made on an annual basis applying principles and methodologies that in some circumstances are unclear and subject to varying interpretation. Because PFIC status is based on our income, assets, and activities for the entire taxable year, it is not possible to determine whether we will be characterized as a PFIC for the current or any future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in any year with respect to which a U.S. Holder owns our securities, we will continue to be treated as a PFIC with respect to such U.S. Holder in all succeeding years during which the U.S. Holder owns the securities, regardless of whether we continue to meet the tests described above unless (i) we cease to be a PFIC and the U.S. Holder has made a “deemed sale” election under the PFIC rules, or (ii) the U.S. Holder is eligible to make and makes a QEF Election (as defined below) with respect to all taxable years during such U.S. Holders holding period in which we are a PFIC. If the “deemed sale” election is made, a U.S. Holder will be deemed to have sold the securities the U.S. Holder holds at their fair market value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election if we cease to be a PFIC and such election becomes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our securities, unless (i) such U.S. Holder is eligible to make and makes a QEF Election or (ii) our securities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securities will be treated as an excess distribution. Under these special tax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a U.S. Holder’s holding period for the applicable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taxable year of disposition, and any taxable year prior to the first taxable year in which we became a PFIC, will be treated as ordinary income;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other year will be subject to the highest tax rate in effect for that year for individuals or corporations, as appropriate, and the interest charge generally applicable to underpayments of tax will be imposed on the resulting tax attributable to each such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applicable securities cannot be treated as capital, even if a U.S. Holder holds the securities as capital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elections exist that may alleviate some of the adverse consequences of PFIC status and would result in an alternative treatment of our securities. A U.S. Holder may avoid the general tax treatment for PFICs described above by electing to treat us as a “qualified electing fund” under Section 1295 of the Code (a “</w:t>
      </w:r>
      <w:r>
        <w:rPr>
          <w:rFonts w:ascii="Times New Roman PS Std;serif" w:hAnsi="Times New Roman PS Std;serif"/>
          <w:b/>
          <w:i w:val="false"/>
          <w:caps w:val="false"/>
          <w:smallCaps w:val="false"/>
          <w:sz w:val="20"/>
        </w:rPr>
        <w:t>QEF</w:t>
      </w:r>
      <w:r>
        <w:rPr>
          <w:rFonts w:ascii="Times New Roman PS Std;serif" w:hAnsi="Times New Roman PS Std;serif"/>
          <w:b w:val="false"/>
          <w:i w:val="false"/>
          <w:caps w:val="false"/>
          <w:smallCaps w:val="false"/>
          <w:sz w:val="20"/>
        </w:rPr>
        <w:t>,” and such election, a “</w:t>
      </w:r>
      <w:r>
        <w:rPr>
          <w:rFonts w:ascii="Times New Roman PS Std;serif" w:hAnsi="Times New Roman PS Std;serif"/>
          <w:b/>
          <w:i w:val="false"/>
          <w:caps w:val="false"/>
          <w:smallCaps w:val="false"/>
          <w:sz w:val="20"/>
        </w:rPr>
        <w:t>QEF Election</w:t>
      </w:r>
      <w:r>
        <w:rPr>
          <w:rFonts w:ascii="Times New Roman PS Std;serif" w:hAnsi="Times New Roman PS Std;serif"/>
          <w:b w:val="false"/>
          <w:i w:val="false"/>
          <w:caps w:val="false"/>
          <w:smallCaps w:val="false"/>
          <w:sz w:val="20"/>
        </w:rPr>
        <w:t>”) for each of the taxable years during the U.S. Holder’s holding period that we are a PFIC. If a QEF Election is not in effect for the first taxable year in the U.S. Holder’s holding period in which we are a PFIC, a QEF Election generally can only be made if the U.S. Holder elects to make an applicable deemed sale or deemed dividend election on the first day of its taxable year in which the PFIC becomes a QEF pursuant to the QEF Election. The deemed gain or deemed dividend recognized with respect to such an election would be subject to the general tax treatment of PFICs discussed above. In order to comply with the requirements of a QEF Election, a U.S. Holder must receive a PFIC Annual Information Statement from us. However, we do not expect that we will be providing the information necessary for U.S. Holders to make or maintain a QEF Election, and we do not expect to make any such undertaking to provide such information in the event that we are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a QEF Election with respect to a PFIC, it will be taxed currently on its pro rata share of the PFIC’s ordinary earnings and net capital gain (at ordinary income and capital gain rates, respectively) for each taxable year that the entity is a PFIC, even if no distributions were received. Any distributions we make out of our earnings and profits that were previously included in such a U.S. Holder’s income under the QEF Election would not be taxable to such U.S. Holder. Such U.S. Holder’s tax basis in its applicable securities would be increased by an amount equal to any income included under the QEF Election and decreased by any amount distributed on such securities that is not included in its income. In addition, a U.S. Holder will recognize capital gain or loss on the disposition of its securities in an amount equal to the difference between the amount realized and its adjusted tax basis in the securities, each as determined in U.S. dollars. Once made, a QEF Election remains in effect unless invalidated or terminated by the IRS or revoked by the shareholder. A QEF Election can be revoked only with the consent of the IRS. A U.S. Holder will not be currently taxed on the ordinary income and net capital gain of a PFIC with respect to which a QEF Election was made for any taxable year of the non-U.S. corporation that such corporation does not satisfy the Income Test or Asset Test. Each U.S. Holder should consult its tax advisor regarding the availability of, and procedure for making, any deemed gain, deemed dividend or QEF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U.S. Holders can avoid the interest charge on excess distributions or gain relating to the securities by making a mark-to-market election with respect to the securities, provided that the securities constitute “marketable stock.” “Marketable stock” is, generally, stock that is “regularly traded” on certain U.S. stock exchanges or on a foreign stock exchange that meets certain conditions. For these purposes, the securities will be considered regularly traded during any calendar year during which they are traded, other than in de minimis quantities, on at least 15 days during each calendar quarter. Any trades that have as their principal purpose meeting this requirement will be disregarded. Our securities are listed on Nasdaq, which is a qualified exchange for these purposes. Consequently, if our securities remain listed on Nasdaq and are regularly traded, and you are a U.S. Holder of securities, we expect the mark-to-market election would be available to you if we are a classified as a PFIC. Each U.S. Holder should consult its tax advisor as to the whether a mark-to-market election is available or advisable with respect to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makes a mark-to-market election must include in ordinary income for each year an amount equal to the excess, if any, of the fair market value of the applicable securities at the close of the taxable year over the U.S. Holder’s adjusted tax basis in such securities. An electing holder may also claim an ordinary loss deduction for the excess, if any, of the U.S. Holder’s adjusted basis in such securities over the fair market value of the securities at the close of the taxable year, but this deduction is allowable only to the extent of any net mark-to-market gains for prior years. Gains from an actual sale or other disposition of the securities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such securities cease to be marketable.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by the IRS, each U.S. shareholder of a PFIC is required to file an annual report containing such information as the IRS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STRONGLY URGE YOU TO CONSULT YOUR TAX ADVISOR REGARDING THE IMPACT OF OUR PFIC STATUS ON YOUR INVESTMENT IN THE ORDINARY SHARES AS WELL AS THE APPLICATION OF THE PFIC RULES TO YOUR INVESTMENT IN THE ORDINARY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on a duly executed IRS Form W-9 or otherwise establishes an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any backup withholding from a payment to a U.S. Holder may be allowed as a credit against the U.S. Holder’s U.S. federal income tax liability and may entitle the U.S. Holder to a refund, provided that the required information is timely furnished to the IRS.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with Respect to Foreign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who are individuals (and, under regulations, certain entities) may be required to report information relating to our securities, subject to certain exceptions (including an exception for securities held in accounts maintained by certain U.S. financial institutions), by filing IRS Form 8938 (Statement of Specified Foreign Financial Assets) with their U.S.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French Tax Consequences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French tax consequences to U.S. Holders (as defined below for the purposes of this section) of purchasing, owning and disposing of Ordinary Shares or acquiring, owning, disposing of or exercising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analysis or listing of all potential tax effects of the acquisition, ownership or disposition of Ordinary Shares or the acquisition, ownership, disposal or exercise of warrants to any particular investor, and does not discuss tax considerations that arise from rules of general application or that are generally assumed to be known by investors. In addition, this discussion does not address the French tax considerations relating to the Convertible Bonds, other than those that may apply to the Ordinary Shares issued upon conversion of such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following is subject to change. Such changes could apply retroactively and could affect the consequences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official tax guidelines issued by the French tax authorities in force as of the date hereof (the “</w:t>
      </w:r>
      <w:r>
        <w:rPr>
          <w:rFonts w:ascii="Times New Roman PS Std;serif" w:hAnsi="Times New Roman PS Std;serif"/>
          <w:b/>
          <w:i w:val="false"/>
          <w:caps w:val="false"/>
          <w:smallCaps w:val="false"/>
          <w:sz w:val="20"/>
        </w:rPr>
        <w:t>Treaty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discussion of French tax consequences, the term “U.S. Holder” is a holder who, for U.S. federal income tax purposes, is a beneficial owner of our securities and is: (i) an individual who is a citizen or resident of the United States, (ii) a corporation or other entity taxable as a corporation, created or organized in or under the laws of the United States, any state therein or the District of Columbia, (iii) an estate whose income is eligible for inclusion in gross income for U.S. federal income tax purposes, regardless of its source, or (iv) a trust, if (a) a U.S. court is able to exercise primary supervision over the trust’s administration and one or more U.S. persons have the authority to control all substantial decisions of the trust or (b) the trust has a valid election in effect under applicable U.S. Treasury Regulations to treat the trust as a United States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other entity treated as partnership for U.S. federal income tax purposes) holds Ordinary Shares or warrants, the tax treatment of the partnership and a partner in such partnership generally will depend upon the status of the partner and the activities of the partnership. If a U.S. Holder is a partnership or a partner in a partnership that holds Ordinary Shares or warrants, such holder is urged to consult its own tax advisor regarding the specific tax consequences of acquiring, owning and disposing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investors that hold Ordinary Shares or warrants as capital assets that have the U.S. dollar as their functional currency, that are entitled to Treaty benefits under the “Limitation on Benefits” provision contained in the Treaty, and whose ownership of Ordinary Shares or warrants is not effectively connected to a permanent establishment or a fixed base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warrants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own tax advisors regarding the tax consequences of the purchase, ownership and disposition of securities in light of their particular circumstances, especially with regard to the “Limitations on Benefits” provision.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Assets held through a Trust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 introduced a comprehensive set of tax rules applicable to French assets that are held by or in foreign trusts. These rules, among other things, provide for the inclusion of trust assets in the settlor’s net assets for purpose of applying the French real estate wealth tax, for the application of French gift and inheritance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Ordinary Shares or warrants held in trusts. If Ordinary Shares or warrants are held in trust, the settlor, trustee and beneficiary are urged to consult their own tax advisor regarding the specific tax consequences of acquiring, owning and disposing of Ordinary Shares or of acquiring, owning disposing of or exercising warrants through a trust.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and Gift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transfer of securities by gift or by reason of death of a U.S. Holder that would otherwise be subject to French gift or inheritance tax, respectively, will not be subject to such French tax based on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securities were used in, or held for use in, the conduct of a business through a permanent establishment or a fixed base in France.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Transactions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 (“</w:t>
      </w:r>
      <w:r>
        <w:rPr>
          <w:rFonts w:ascii="Times New Roman PS Std;serif" w:hAnsi="Times New Roman PS Std;serif"/>
          <w:b/>
          <w:i w:val="false"/>
          <w:caps w:val="false"/>
          <w:smallCaps w:val="false"/>
          <w:sz w:val="20"/>
        </w:rPr>
        <w:t>FTC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Code général des impôts</w:t>
      </w:r>
      <w:r>
        <w:rPr>
          <w:rFonts w:ascii="Times New Roman PS Std;serif" w:hAnsi="Times New Roman PS Std;serif"/>
          <w:b w:val="false"/>
          <w:i w:val="false"/>
          <w:caps w:val="false"/>
          <w:smallCaps w:val="false"/>
          <w:sz w:val="20"/>
        </w:rPr>
        <w:t>), a financial transaction tax (“</w:t>
      </w:r>
      <w:r>
        <w:rPr>
          <w:rFonts w:ascii="Times New Roman PS Std;serif" w:hAnsi="Times New Roman PS Std;serif"/>
          <w:b/>
          <w:i w:val="false"/>
          <w:caps w:val="false"/>
          <w:smallCaps w:val="false"/>
          <w:sz w:val="20"/>
        </w:rPr>
        <w:t>FTT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including ordinary shares,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(in each case within the meaning of the French Monetary and Financial Code, or the “</w:t>
      </w:r>
      <w:r>
        <w:rPr>
          <w:rFonts w:ascii="Times New Roman PS Std;serif" w:hAnsi="Times New Roman PS Std;serif"/>
          <w:b/>
          <w:i w:val="false"/>
          <w:caps w:val="false"/>
          <w:smallCaps w:val="false"/>
          <w:sz w:val="20"/>
        </w:rPr>
        <w:t>FMFC</w:t>
      </w:r>
      <w:r>
        <w:rPr>
          <w:rFonts w:ascii="Times New Roman PS Std;serif" w:hAnsi="Times New Roman PS Std;serif"/>
          <w:b w:val="false"/>
          <w:i w:val="false"/>
          <w:caps w:val="false"/>
          <w:smallCaps w:val="false"/>
          <w:sz w:val="20"/>
        </w:rPr>
        <w:t xml:space="preserve">”). The tax is currently levied at a rate of 0.4% of the acquisition price of the shares. Specific exemptions may apply such as the primary market transaction exemption provided by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II 1° of the FTC.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French relevant companies whose market capitalization exceeds €1 billion as of December 1st of the year preceding the taxation year is published annually by the French tax authorities. The last version of such list was dated December 17, 2025 (BOI-ANNX-000467-17/12/2025). It did not include the Company as its shares were not admitted to trading, on December 1st 2025, on a regulated market within the European Union, the European Economic Area or a foreign regulated market formally recognized as such by the AMF.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Nasdaq Global Market, on which the Ordinary Shares are listed, is not currently recognized by the AMF, but this may change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acquisitions for consideration of Ordinary Shares should not in principle fall within the scope of the FTT.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French legislation, the issuance or transfer of warrants and the delivery of newly issued shares upon exercise of such warrants should not be subject to the FTT.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equity or similar securities subject to the abovementioned FTT are exempt from registration taxes provided for by Article 726 of the FTC.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where the FTT is not applicable, (1) transfers of shares issued by a French company, including potentially the delivery of existing shares upon exercise of warrants, which are listed on a regulated or organized market within the meaning of the FMFC are subject to uncapped registration duties at the rate of 0.1% if the transfer is evidenced by a written deed (“</w:t>
      </w:r>
      <w:r>
        <w:rPr>
          <w:rFonts w:ascii="Times New Roman PS Std;serif" w:hAnsi="Times New Roman PS Std;serif"/>
          <w:b w:val="false"/>
          <w:i/>
          <w:caps w:val="false"/>
          <w:smallCaps w:val="false"/>
          <w:sz w:val="20"/>
        </w:rPr>
        <w:t>acte</w:t>
      </w:r>
      <w:r>
        <w:rPr>
          <w:rFonts w:ascii="Times New Roman PS Std;serif" w:hAnsi="Times New Roman PS Std;serif"/>
          <w:b w:val="false"/>
          <w:i w:val="false"/>
          <w:caps w:val="false"/>
          <w:smallCaps w:val="false"/>
          <w:sz w:val="20"/>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deed.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issuance or sale of warrants are not subject to registration taxes provided for by Article 726 of the FTC which only applies to transfers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(i.e., equity interests such as shares (</w:t>
      </w:r>
      <w:r>
        <w:rPr>
          <w:rFonts w:ascii="Times New Roman PS Std;serif" w:hAnsi="Times New Roman PS Std;serif"/>
          <w:b w:val="false"/>
          <w:i/>
          <w:caps w:val="false"/>
          <w:smallCaps w:val="false"/>
          <w:sz w:val="20"/>
        </w:rPr>
        <w:t>action</w:t>
      </w:r>
      <w:r>
        <w:rPr>
          <w:rFonts w:ascii="Times New Roman PS Std;serif" w:hAnsi="Times New Roman PS Std;serif"/>
          <w:b w:val="false"/>
          <w:i w:val="false"/>
          <w:caps w:val="false"/>
          <w:smallCaps w:val="false"/>
          <w:sz w:val="20"/>
        </w:rPr>
        <w:t>s) and partnership interests (</w:t>
      </w:r>
      <w:r>
        <w:rPr>
          <w:rFonts w:ascii="Times New Roman PS Std;serif" w:hAnsi="Times New Roman PS Std;serif"/>
          <w:b w:val="false"/>
          <w:i/>
          <w:caps w:val="false"/>
          <w:smallCaps w:val="false"/>
          <w:sz w:val="20"/>
        </w:rPr>
        <w:t>parts sociales</w:t>
      </w:r>
      <w:r>
        <w:rPr>
          <w:rFonts w:ascii="Times New Roman PS Std;serif" w:hAnsi="Times New Roman PS Std;serif"/>
          <w:b w:val="false"/>
          <w:i w:val="false"/>
          <w:caps w:val="false"/>
          <w:smallCaps w:val="false"/>
          <w:sz w:val="20"/>
        </w:rPr>
        <w:t xml:space="preserve">)). The issuance of warrants does not constitute a transfer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within the meaning of Article 726 of the FTC, as interpreted by the French guidelines (BOI-ENR-DMTOM-40-24/04/2024 and BOI-ENR-DMTOM-40-10-10-12/08/2026).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Estate Wealth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2018, the French wealth tax (</w:t>
      </w:r>
      <w:r>
        <w:rPr>
          <w:rFonts w:ascii="Times New Roman PS Std;serif" w:hAnsi="Times New Roman PS Std;serif"/>
          <w:b w:val="false"/>
          <w:i/>
          <w:caps w:val="false"/>
          <w:smallCaps w:val="false"/>
          <w:sz w:val="20"/>
        </w:rPr>
        <w:t>impôt de solidarité sur la fortune</w:t>
      </w:r>
      <w:r>
        <w:rPr>
          <w:rFonts w:ascii="Times New Roman PS Std;serif" w:hAnsi="Times New Roman PS Std;serif"/>
          <w:b w:val="false"/>
          <w:i w:val="false"/>
          <w:caps w:val="false"/>
          <w:smallCaps w:val="false"/>
          <w:sz w:val="20"/>
        </w:rPr>
        <w:t>) has been repealed and replaced by the French real estate wealth tax (</w:t>
      </w:r>
      <w:r>
        <w:rPr>
          <w:rFonts w:ascii="Times New Roman PS Std;serif" w:hAnsi="Times New Roman PS Std;serif"/>
          <w:b w:val="false"/>
          <w:i/>
          <w:caps w:val="false"/>
          <w:smallCaps w:val="false"/>
          <w:sz w:val="20"/>
        </w:rPr>
        <w:t>impôt sur la fortune immobilière</w:t>
      </w:r>
      <w:r>
        <w:rPr>
          <w:rFonts w:ascii="Times New Roman PS Std;serif" w:hAnsi="Times New Roman PS Std;serif"/>
          <w:b w:val="false"/>
          <w:i w:val="false"/>
          <w:caps w:val="false"/>
          <w:smallCaps w:val="false"/>
          <w:sz w:val="20"/>
        </w:rPr>
        <w:t>). The scope of the French real estate wealth tax is narrowed to real estate assets (and certain assets deemed to be real estate assets) or rights, held directly or indirectly through one or more legal entities and whose net taxable assets amount at least to €1,300,000.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Broadly, subject to provisions of double tax treaties and to certain exceptions, individuals who are not residents of France for tax purposes within the meaning of Article 4 B of the FTC, are subject to real estate wealth tax in France in respect of the portion of the value of their shares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Under the Treaty (the provisions of which should be applicable to the real estate wealth tax in France), the French real estate wealth tax will however generally not apply to securities held by an eligible U.S. Holder who is a U.S. resident, as defined above and pursuant to the provisions of the Treaty, provided that such (i) U.S. Holder (a) does not own directly or indirectly more than 25% of the issuer’s financial rights and (b) that the securities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advised to consult their own tax advisor regarding the specific tax consequences which may apply to their particular situation with respect to such French real estate wealth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by a French corporation, when their beneficial owners are not French tax residents are 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 State or territory, as defined in Article 238-0 A of the FTC, other than those states or territories mentioned in 2° of 2 bis of the same Article, will generally be subject to French withholding tax at a rate of 75% (unless the safeguard clause provided for by Article 187, 2 of the FTC were to apply). For the detailed list of jurisdictions and territories currently included in such list, please refer to the section below “Tax on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eligible U.S. Holders entitled to Treaty benefits under the “Limitation on Benefits” provision contained in the Treaty who are U.S. residents, as defined pursuant to the provisions of the Treaty, may not be subject to this 12.8%, 25% or 75% withholding tax rate, but may be subject to the withholding tax at a reduced rate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Treaty, the rate of the French withholding tax on dividends paid to an eligible U.S. Holder who is a U.S. resident as defined pursuant to the provisions of the Treaty and the beneficial owner of these dividends, whose ownership of the Ordinary Shares is not effectively connected with a permanent establishment or fixed base that such U.S. Holder has in France, is generally reduced to 15%, or to 5% if such U.S. Holder is a corporation and owns directly or indirectly at least 10% of the share capital of the issuer; such U.S. Holder may under certain conditions claim a refund from the French tax authorities of the amount withheld in excess of the Treaty rates of 15% or 5%, if 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advisers regarding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to an eligible U.S. Holder may immediately be subject to the reduced rates of 5% or 15% provided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U.S. Holder establishes before the date of payment that it is a U.S. resident under the Treaty by completing and providing the depositary with a treaty form (Form 5000) in accordance with French guidelines (BOI-INT-DG-20-20-20-20-12/09/2012);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or other financial institution managing the securities account in the United States of such U.S. Holder provides the French paying agent, with a document listing certain information about the U.S. Holder and its Ordinary Shares and a certificate (BOI-LETTRE-000138-28/07/2014) whereby the financial institution managing the U.S. Holder’s securities account in the United States takes full responsibility for the accuracy of the information provided in the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dividends paid to a U.S. Holder, if such U.S. Holder is a legal person, will be subject to French withholding tax at the rate of 25%, or 75% if paid to an account situated in a non-cooperative State or territory (as defined in Article 238-0 A of the FTC, but other than those states or territories mentioned in 2° of 2 bis of the same Article 238-0 A of the FTC, unless the safeguard clause provided for by Article 187, 2 of the FTC were to apply), and then reduced at a later date to 5% or 15%, provided that such holder duly completes and provides the French tax authorities with the treaty forms Form 5000 and Form 5001 before December 31 of the second year following the year during which the dividend is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qualifying pension funds and certain other tax-exempt entities are generally subject to the same general filing requirements as other U.S. Holders except that they may have to supply additional documentation evidencing their entitlement to these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withholding tax rate applicable under French domestic law to U.S. Holders who are individuals does not exceed the cap provided in the Treaty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15%), the 12.8% rate shall apply, without any reduction provided under the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Besides, please note that pursuant to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profit-making position, as well as in the cases set out in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Finance Bill for 2022 extended the deadline to claim the refund (December 31 of the second year following the year of payment instead of three months after the end of the fiscal year following the payment of the income) and clarified the order in which the deferred taxes become due (the forfeiture of the deferral applies in priority to the oldest withholding taxes). Also, pursuant to Article 235 </w:t>
      </w:r>
      <w:r>
        <w:rPr>
          <w:rFonts w:ascii="Times New Roman PS Std;serif" w:hAnsi="Times New Roman PS Std;serif"/>
          <w:b w:val="false"/>
          <w:i/>
          <w:caps w:val="false"/>
          <w:smallCaps w:val="false"/>
          <w:sz w:val="20"/>
        </w:rPr>
        <w:t>quinquies</w:t>
      </w:r>
      <w:r>
        <w:rPr>
          <w:rFonts w:ascii="Times New Roman PS Std;serif" w:hAnsi="Times New Roman PS Std;serif"/>
          <w:b w:val="false"/>
          <w:i w:val="false"/>
          <w:caps w:val="false"/>
          <w:smallCaps w:val="false"/>
          <w:sz w:val="20"/>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Articles 244 bis B and 244 bis C of the FTC, the exercise, sale or redemption of warrants, or the sale of Ordinary Shares issued upon exercise of such warrants, by non-French Resident Holders should not be subject to tax in France, subject to the discussion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principle, under French tax law, and provided that the Company is not a real estate company within the meaning of Article 244 bis A of the FTC, a U.S. Holder should not be subject to any French tax on any capital gain from the sale, exchange, repurchase or redemption by us of Ordinary Shares, provided such U.S. Holder is not a French tax resident for French tax purposes and has not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In the case of redemptions, all or part of the proceeds may, under certain circumstances, be partially or fully qualified as dividends for French domestic tax purposes and therefore be subject to French dividend withholding tax subject to the application of the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exception, a U.S. Holder resident, domiciled, established or incorporated in a non-cooperative State or territory as set out in the list referred to in Article 238-0 A of the FTC other than those mentioned in 2° of 2 bis of the same Article should be subject to a 75% withholding tax in France on any such capital gain, regardless of the fraction of the dividend rights it holds, unless the safeguard clause provided by the second paragraph of Article 244 bis B of the FTC were to apply. This list of non-cooperative States or territories was last updated on April 15, 2026, and currently includes Anguilla, Antigua and Barbuda, Guam, US Virgin Islands, Palau, Panama, Russia, American Samoa, Vietnam, Turk and Caicos Islands and Vanuatu. States and territories referred to in Article 238-0 A 2 bis 2° of the FTC, and thus outside of the scope of the provisions of Article 244 bis B of the FTC mentioned in this paragraph, are currently Guam, US Virgin Islands, Palau, Panama, Russia, American Samoa and Vietnam.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and subject to the application of the Treaty) of Ordinary Shares unless such Ordinary Shares form part of the business property of a permanent establishment or fixed base that the U.S. Holder has in France. U.S. Holders who own Ordinary Shares through U.S. partnerships that are not resident for Treaty purposes are advised to consult their own tax advisors regarding their French tax treatment and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that is not a U.S. resident for Treaty purposes or is not entitled to Treaty benefit (and in both cases is not resident, established or incorporated in a non-cooperative State or territory as set out in the list referred to in Article 238-0 A of the FTC other than those States or territories mentioned in 2° of 2 bis of the same Article 238-0 A of the FTC, unless the above mentioned safeguard clause were to apply) and has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will be subject to a levy in France at the rate of the standard corporate income tax (currently 25%), if such holder is a legal person, or 12.8%, if such holder is an individual subject to the application of any relevant tax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non-French resident entity that holds more than 25% of our dividend rights and may be subject to French tax on capital gains, Article 244 bis B of the FTC provides under certain conditions for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w:t>
      </w:r>
      <w:r>
        <w:rPr>
          <w:rFonts w:ascii="Times New Roman PS Std;serif" w:hAnsi="Times New Roman PS Std;serif"/>
          <w:b/>
          <w:i w:val="false"/>
          <w:caps w:val="false"/>
          <w:smallCaps w:val="false"/>
          <w:sz w:val="20"/>
        </w:rPr>
        <w:t>EU/EEA State</w:t>
      </w:r>
      <w:r>
        <w:rPr>
          <w:rFonts w:ascii="Times New Roman PS Std;serif" w:hAnsi="Times New Roman PS Std;serif"/>
          <w:b w:val="false"/>
          <w:i w:val="false"/>
          <w:caps w:val="false"/>
          <w:smallCaps w:val="false"/>
          <w:sz w:val="20"/>
        </w:rPr>
        <w:t>”) or (ii) a State, other than a non-cooperative State or territory that has concluded a tax treaty with France that includes an administrative assistance clause regarding the exchange of information aimed at combating tax fraud and tax evasion (a “</w:t>
      </w:r>
      <w:r>
        <w:rPr>
          <w:rFonts w:ascii="Times New Roman PS Std;serif" w:hAnsi="Times New Roman PS Std;serif"/>
          <w:b/>
          <w:i w:val="false"/>
          <w:caps w:val="false"/>
          <w:smallCaps w:val="false"/>
          <w:sz w:val="20"/>
        </w:rPr>
        <w:t>Treaty State</w:t>
      </w:r>
      <w:r>
        <w:rPr>
          <w:rFonts w:ascii="Times New Roman PS Std;serif" w:hAnsi="Times New Roman PS Std;serif"/>
          <w:b w:val="false"/>
          <w:i w:val="false"/>
          <w:caps w:val="false"/>
          <w:smallCaps w:val="false"/>
          <w:sz w:val="20"/>
        </w:rPr>
        <w:t>”), provided that the transferor is not effectively involved in the management or control of the entity whose shares are disposed of or redeemed. In addition, Article 244 bis B of the FTC also provides that specific collective investment funds established in EU/EEA States or Treaty States are excluded from the scope of the non-resident capital gain tax mentioned above under certain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Article 16 of the Finance Act for 2025 amended the provisions of Article 244 bis B of the FTC as to align with EU law, by allowing non-resident individuals to obtain, upon request to the French tax authorities, the reimbursement of the portion of the tax levy that exceeds the personal income tax they would have been liable for if they had been domiciled in France and had opted for the taxation of their securities income pursuant to the progressive income tax rates (benefiting, where applicable under certain conditions and limitations, from holding period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rules apply to U.S. Holders who are residents of more than one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discussion above is a summary of the material French tax consequences of an investment in our securities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Ordinary Shares or warrants in light of the investor’s own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19"/>
      <w:bookmarkEnd w:id="19"/>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issuance by us of up to 17,333,333 Ordinary Shares, which consists of (i) up to 9,583,333 Ordinary Shares that are issuable upon the exercise of 9,583,333 Public Warrants and (ii) up to 7,750,000 Ordinary Shares that are issuable upon the exercise of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received upon conversion of 9,583,333 Bleichroeder Class B ordinary shares in connection with the Business Combination, (d) up to 7,750,000 Ordinary Shares issuable upon exercise of the Private Placement Warrants, (e) up to 162,974,246 Ordinary Shares issued to former shareholders of Legacy Pasqal in connection with the Merger,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securities by the Selling Securityholders. We will receive proceeds from Warrants or Investment Warrants exercised in the event that such exercises are for cash. The aggregate proceeds to the Selling Securityholders will be the purchase price of the securities less any discounts and commissions borne by the Selling Securityholders. The Selling Securityholders reserve the right to accept and, together with their agents from time to time, to reject, in whole or in part, any proposed purchase of the Ordinary Shares or Private Placement Warrants to be made directly or through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Selling Securityholder and any of their pledgees, assignees, donees, transferees or other successors-in-interest may, from time to time, sell, transfer or otherwise dispose of any or all of their Ordinary Shares and Private Placement Warrants covered hereby on the principal trading market or any other stock exchange, market or trading facility on which our Ordinary Shares or Private Placement Warrants are traded or in private transactions. These sales may be at fixed or negotiated prices. A Selling Securityholder may use any one or more of the following methods when selling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Ordinary Shares or Private Placement Warrants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settlement of short sales;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distributions to their employees, members, partners or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through broker-dealers that agree with the Selling Securityholders to sell a specified number of such securities at a stipulated price per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delayed delivery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pledge to secure debts and other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also sell Ordinary Shares or Private Placement Warrants under Rule 144 or any other exemption from registration under the Securities Act, if available, rather than under this prospectus.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Ordinary Shares, Private Placement Warrants or interests therein, the Selling Securityholders may enter into hedging transactions with broker-dealers or other financial institutions, which may in turn engage in short sales of the shares in the course of hedging the positions they assume. The Selling Securityholders may also sell Ordinary Shares or Private Placement Warrants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from time to time, pledge or grant a security interest in some of the Ordinary Shares or Private Placement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the Ordinary Shares in other circumstances, in which case the transferees, pledgees, donees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broker-dealers or agents that are involved in selling the Ordinary Shares or Private Placement Warrants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us that it does not have any written or oral agreement or understanding, directly or indirectly, with any person to sell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the offering of Ordinary Shares or Private Placement Warrants offered by the Selling Securityholders, certain persons participating in the offering may engage in transactions that stabilize, maintain or otherwise affect the price of our Ordinary Shares or Private Placement Warrants. This may include over-allotments or short sales, which involve the sale by persons participating in the offering of more Ordinary Shares or Private Placement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Ordinary Shares or Private Placement Warrants by bidding for or purchasing Ordinary Shares or Private Placement Warrants in the open market or by imposing penalty bids, whereby selling concessions allowed to dealers participating in the offering may be reclaimed if Ordinary Shares or Private Placement Warrants sold by them are repurchased in connection with stabilization transactions. The effect of these transactions may be to stabilize or maintain the market price of our Ordinary Shares or Private Placement Warrants at a level above that which might otherwise prevail in the open market. These transactions may be discontinued at any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certain fees and expenses incurred by us incident to the registration of the Ordinary Shares and Private Placement Warrants. We have agreed to indemnify the Selling Securityholders against certain losses, claims, damages and liabilities, including liabilities under the Securities Act. In addition, we and the Selling Securityholders may agree to indemnify any underwriter, broker-dealer or agent against certain liabilities related to the selling of the securities, including liabilities arising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each Selling Securityholder to keep the registration statement of which this prospectus constitutes a part effective until the earlier of, among other things, (a) the term specified in relation to the registration rights granted to such Selling Securityholder and (b) the date on which such Selling Securityholder ceases to hold any of the Ordinary Shares or Private Placement Warrants covered by this prospectus. The Ordinary Shares and Private Placement Warrants will be sold only through registered or licensed brokers or dealers if required under applicable state securities laws. In addition, in certain states, the Ordinary Shares and Private Placement Warrants covered hereby may not be sold unless they have been registered or qualified for sale in the applicable state or an exemption from the registration or qualification requirement is available and is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other persons participating in the sale of the Ordinary Shares or Private Placement Warrants will be subject to the Exchange Act. The Exchange Act rules include, without limitation, Regulation M, which may limit the timing of purchases and sales of any of the Ordinary Shares or Private Placement Warrants by the Selling Securityholders and any other person. In addition, Regulation M may restrict the ability of any person engaged in the distribution of the Ordinary Shares or Private Placement Warrants to engage in market-making activities with respect to the particular Ordinary Shares or Private Placement Warrants being distributed. This may affect the marketability of the Ordinary Shares or Private Placement Warrants and the ability of any person or entity to engage in market-making activities with respect to the Ordinary Shares or Private Placement Warrants.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Warrants may exercise its Warrants in accordance with the Warrant Agreement, as amended by the Warrant Amendment Agreement, on or before the expiration date set forth therein by surrendering, at the office of the Warrant Agent, Computershare Inc. and Computershare Trust Company, N.A.,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20"/>
      <w:bookmarkEnd w:id="20"/>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will be passed upon for us by Orrick, Herrington &amp; Sutcliffe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21"/>
      <w:bookmarkEnd w:id="21"/>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Pasqal SAS and its subsidiaries as of December 31, 2025 and December 31, 2024 and for the years then ended included in this prospectus have been so included in reliance on the report of PricewaterhouseCoopers Audit, an independent registered public accounting firm, given on the authority of said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Bleichroeder Acquisition Corp. II at December 31, 2025, and for the period from August 27, 2025 (inception) through December 31, 2025, appearing in this prospectus have been audited by WithumSmith+Brown, PC, an independent registered public accounting firm, as set forth in its report thereon appearing elsewhere herein, and are included in reliance upon such report given on the authority of such firm as an expert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122"/>
      <w:bookmarkEnd w:id="22"/>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with the SEC a registration statement on Form F-1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23"/>
      <w:bookmarkEnd w:id="23"/>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1">
              <w:r>
                <w:rPr>
                  <w:rStyle w:val="InternetLink"/>
                  <w:rFonts w:ascii="Times New Roman PS Std;serif" w:hAnsi="Times New Roman PS Std;serif"/>
                  <w:b w:val="false"/>
                  <w:i w:val="false"/>
                  <w:caps w:val="false"/>
                  <w:smallCaps w:val="false"/>
                  <w:sz w:val="20"/>
                </w:rPr>
                <w:t xml:space="preserve">Condensed Consolidated Balance Sheets as of June 30, 2026 (Unaudited) and December 31,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2">
              <w:r>
                <w:rPr>
                  <w:rStyle w:val="InternetLink"/>
                  <w:rFonts w:ascii="Times New Roman PS Std;serif" w:hAnsi="Times New Roman PS Std;serif"/>
                  <w:b w:val="false"/>
                  <w:i w:val="false"/>
                  <w:caps w:val="false"/>
                  <w:smallCaps w:val="false"/>
                  <w:sz w:val="20"/>
                </w:rPr>
                <w:t>Condensed Consolidated Statements of Operations for the Three and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3">
              <w:r>
                <w:rPr>
                  <w:rStyle w:val="InternetLink"/>
                  <w:rFonts w:ascii="Times New Roman PS Std;serif" w:hAnsi="Times New Roman PS Std;serif"/>
                  <w:b w:val="false"/>
                  <w:i w:val="false"/>
                  <w:caps w:val="false"/>
                  <w:smallCaps w:val="false"/>
                  <w:sz w:val="20"/>
                </w:rPr>
                <w:t>Condensed Consolidated Statement of Changes in Shareholders’ Deficit for the Three and Six Months Ended June 30, 2026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4">
              <w:r>
                <w:rPr>
                  <w:rStyle w:val="InternetLink"/>
                  <w:rFonts w:ascii="Times New Roman PS Std;serif" w:hAnsi="Times New Roman PS Std;serif"/>
                  <w:b w:val="false"/>
                  <w:i w:val="false"/>
                  <w:caps w:val="false"/>
                  <w:smallCaps w:val="false"/>
                  <w:sz w:val="20"/>
                </w:rPr>
                <w:t>Condensed Consolidated Statement of Cash Flows for the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5">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bl>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06">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7">
              <w:r>
                <w:rPr>
                  <w:rStyle w:val="InternetLink"/>
                  <w:rFonts w:ascii="Times New Roman PS Std;serif" w:hAnsi="Times New Roman PS Std;serif"/>
                  <w:b w:val="false"/>
                  <w:i w:val="false"/>
                  <w:caps w:val="false"/>
                  <w:smallCaps w:val="false"/>
                  <w:sz w:val="20"/>
                </w:rPr>
                <w:t xml:space="preserve">Balance Sheet as of December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8">
              <w:r>
                <w:rPr>
                  <w:rStyle w:val="InternetLink"/>
                  <w:rFonts w:ascii="Times New Roman PS Std;serif" w:hAnsi="Times New Roman PS Std;serif"/>
                  <w:b w:val="false"/>
                  <w:i w:val="false"/>
                  <w:caps w:val="false"/>
                  <w:smallCaps w:val="false"/>
                  <w:sz w:val="20"/>
                </w:rPr>
                <w:t>Statement of Operations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9">
              <w:r>
                <w:rPr>
                  <w:rStyle w:val="InternetLink"/>
                  <w:rFonts w:ascii="Times New Roman PS Std;serif" w:hAnsi="Times New Roman PS Std;serif"/>
                  <w:b w:val="false"/>
                  <w:i w:val="false"/>
                  <w:caps w:val="false"/>
                  <w:smallCaps w:val="false"/>
                  <w:sz w:val="20"/>
                </w:rPr>
                <w:t>Statement of Changes in Shareholders’ Deficit for the period from August 27, 2025 (Inception) through December 31, 2025</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0">
              <w:r>
                <w:rPr>
                  <w:rStyle w:val="InternetLink"/>
                  <w:rFonts w:ascii="Times New Roman PS Std;serif" w:hAnsi="Times New Roman PS Std;serif"/>
                  <w:b w:val="false"/>
                  <w:i w:val="false"/>
                  <w:caps w:val="false"/>
                  <w:smallCaps w:val="false"/>
                  <w:sz w:val="20"/>
                </w:rPr>
                <w:t>Statement of Cash Flows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1">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12">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3">
              <w:r>
                <w:rPr>
                  <w:rStyle w:val="InternetLink"/>
                  <w:rFonts w:ascii="Times New Roman PS Std;serif" w:hAnsi="Times New Roman PS Std;serif"/>
                  <w:b w:val="false"/>
                  <w:i w:val="false"/>
                  <w:caps w:val="false"/>
                  <w:smallCaps w:val="false"/>
                  <w:sz w:val="20"/>
                </w:rPr>
                <w:t xml:space="preserve">Consolidated Statements of Financial Position as of December 31, 2025 and December 31,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4">
              <w:r>
                <w:rPr>
                  <w:rStyle w:val="InternetLink"/>
                  <w:rFonts w:ascii="Times New Roman PS Std;serif" w:hAnsi="Times New Roman PS Std;serif"/>
                  <w:b w:val="false"/>
                  <w:i w:val="false"/>
                  <w:caps w:val="false"/>
                  <w:smallCaps w:val="false"/>
                  <w:sz w:val="20"/>
                </w:rPr>
                <w:t>Consolidated Statements of Profit or Loss and Other Comprehensive Income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5">
              <w:r>
                <w:rPr>
                  <w:rStyle w:val="InternetLink"/>
                  <w:rFonts w:ascii="Times New Roman PS Std;serif" w:hAnsi="Times New Roman PS Std;serif"/>
                  <w:b w:val="false"/>
                  <w:i w:val="false"/>
                  <w:caps w:val="false"/>
                  <w:smallCaps w:val="false"/>
                  <w:sz w:val="20"/>
                </w:rPr>
                <w:t xml:space="preserve">Consolidated Statements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6">
              <w:r>
                <w:rPr>
                  <w:rStyle w:val="InternetLink"/>
                  <w:rFonts w:ascii="Times New Roman PS Std;serif" w:hAnsi="Times New Roman PS Std;serif"/>
                  <w:b w:val="false"/>
                  <w:i w:val="false"/>
                  <w:caps w:val="false"/>
                  <w:smallCaps w:val="false"/>
                  <w:sz w:val="20"/>
                </w:rPr>
                <w:t>Consolidated Statements of Cash Flows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7">
              <w:r>
                <w:rPr>
                  <w:rStyle w:val="InternetLink"/>
                  <w:rFonts w:ascii="Times New Roman PS Std;serif" w:hAnsi="Times New Roman PS Std;serif"/>
                  <w:b w:val="false"/>
                  <w:i w:val="false"/>
                  <w:caps w:val="false"/>
                  <w:smallCaps w:val="false"/>
                  <w:sz w:val="20"/>
                </w:rPr>
                <w:t xml:space="preserve">Notes to the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7001"/>
      <w:bookmarkEnd w:id="24"/>
      <w:r>
        <w:rPr>
          <w:rFonts w:ascii="Times New Roman PS Std;serif" w:hAnsi="Times New Roman PS Std;serif"/>
          <w:b/>
          <w:i w:val="false"/>
          <w:caps w:val="false"/>
          <w:smallCaps w:val="false"/>
          <w:sz w:val="20"/>
        </w:rPr>
        <w:t xml:space="preserve">BLEICHROEDER ACQUISITION CORP. II </w:t>
        <w:br/>
        <w:t>CONDENSED CONSOLIDATED BALANCE SHEETS</w:t>
      </w:r>
    </w:p>
    <w:tbl>
      <w:tblPr>
        <w:tblW w:w="10205" w:type="dxa"/>
        <w:jc w:val="left"/>
        <w:tblInd w:w="0" w:type="dxa"/>
        <w:tblLayout w:type="fixed"/>
        <w:tblCellMar>
          <w:top w:w="0" w:type="dxa"/>
          <w:left w:w="0" w:type="dxa"/>
          <w:bottom w:w="0" w:type="dxa"/>
          <w:right w:w="0" w:type="dxa"/>
        </w:tblCellMar>
      </w:tblPr>
      <w:tblGrid>
        <w:gridCol w:w="6165"/>
        <w:gridCol w:w="146"/>
        <w:gridCol w:w="301"/>
        <w:gridCol w:w="1531"/>
        <w:gridCol w:w="256"/>
        <w:gridCol w:w="146"/>
        <w:gridCol w:w="302"/>
        <w:gridCol w:w="1055"/>
        <w:gridCol w:w="303"/>
      </w:tblGrid>
      <w:tr>
        <w:trPr/>
        <w:tc>
          <w:tcPr>
            <w:tcW w:w="616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bidi w:val="0"/>
              <w:spacing w:before="0" w:after="283"/>
              <w:jc w:val="left"/>
              <w:rPr/>
            </w:pPr>
            <w:r>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prepaid 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1,070,820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18,478,980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28,750,000 shares at redemption value of $10.17 and $0 per share at June 30, 2026 and December 31, 2025, respectively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 at June 30, 2026 and December 31, 2025 (excluding 28,750,000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(17,332,868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7002"/>
      <w:bookmarkEnd w:id="25"/>
      <w:r>
        <w:rPr>
          <w:rFonts w:ascii="Times New Roman PS Std;serif" w:hAnsi="Times New Roman PS Std;serif"/>
          <w:b/>
          <w:i w:val="false"/>
          <w:caps w:val="false"/>
          <w:smallCaps w:val="false"/>
          <w:sz w:val="20"/>
        </w:rPr>
        <w:t xml:space="preserve">BLEICHROEDER ACQUISITION CORP. II </w:t>
        <w:br/>
        <w:t>CONDENSED CONSOLIDATED STATEMENTS OF OPERATIONS</w:t>
        <w:br/>
        <w:t>(UNAUDITED)</w:t>
      </w:r>
    </w:p>
    <w:tbl>
      <w:tblPr>
        <w:tblW w:w="10205" w:type="dxa"/>
        <w:jc w:val="left"/>
        <w:tblInd w:w="0" w:type="dxa"/>
        <w:tblLayout w:type="fixed"/>
        <w:tblCellMar>
          <w:top w:w="0" w:type="dxa"/>
          <w:left w:w="0" w:type="dxa"/>
          <w:bottom w:w="0" w:type="dxa"/>
          <w:right w:w="0" w:type="dxa"/>
        </w:tblCellMar>
      </w:tblPr>
      <w:tblGrid>
        <w:gridCol w:w="6052"/>
        <w:gridCol w:w="146"/>
        <w:gridCol w:w="301"/>
        <w:gridCol w:w="1351"/>
        <w:gridCol w:w="256"/>
        <w:gridCol w:w="146"/>
        <w:gridCol w:w="301"/>
        <w:gridCol w:w="1351"/>
        <w:gridCol w:w="301"/>
      </w:tblGrid>
      <w:tr>
        <w:trPr/>
        <w:tc>
          <w:tcPr>
            <w:tcW w:w="60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June 30,</w:t>
              <w:br/>
              <w:t>2026</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(2,265,709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(7,173,851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298,688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(2,393,731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A ordinary shares,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(loss) per Ordinary Share, Class A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basic</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7003"/>
      <w:bookmarkEnd w:id="26"/>
      <w:r>
        <w:rPr>
          <w:rFonts w:ascii="Times New Roman PS Std;serif" w:hAnsi="Times New Roman PS Std;serif"/>
          <w:b/>
          <w:i w:val="false"/>
          <w:caps w:val="false"/>
          <w:smallCaps w:val="false"/>
          <w:sz w:val="20"/>
        </w:rPr>
        <w:t xml:space="preserve">BLEICHROEDER ACQUISITION CORP. II </w:t>
        <w:br/>
        <w:t>CONDENSED CONSOLIDATED STATEMENT OF CHANGES IN SHAREHOLDERS’ DEFICIT</w:t>
        <w:br/>
        <w:t>FOR THE THREE AND SIX MONTHS ENDED JUNE 30, 2026</w:t>
        <w:br/>
        <w:t>(UNAUDITED)</w:t>
      </w:r>
    </w:p>
    <w:tbl>
      <w:tblPr>
        <w:tblW w:w="13316" w:type="dxa"/>
        <w:jc w:val="left"/>
        <w:tblInd w:w="0" w:type="dxa"/>
        <w:tblLayout w:type="fixed"/>
        <w:tblCellMar>
          <w:top w:w="0" w:type="dxa"/>
          <w:left w:w="0" w:type="dxa"/>
          <w:bottom w:w="0" w:type="dxa"/>
          <w:right w:w="0" w:type="dxa"/>
        </w:tblCellMar>
      </w:tblPr>
      <w:tblGrid>
        <w:gridCol w:w="2216"/>
        <w:gridCol w:w="146"/>
        <w:gridCol w:w="871"/>
        <w:gridCol w:w="146"/>
        <w:gridCol w:w="415"/>
        <w:gridCol w:w="561"/>
        <w:gridCol w:w="146"/>
        <w:gridCol w:w="1261"/>
        <w:gridCol w:w="146"/>
        <w:gridCol w:w="336"/>
        <w:gridCol w:w="640"/>
        <w:gridCol w:w="146"/>
        <w:gridCol w:w="301"/>
        <w:gridCol w:w="1321"/>
        <w:gridCol w:w="241"/>
        <w:gridCol w:w="146"/>
        <w:gridCol w:w="301"/>
        <w:gridCol w:w="1486"/>
        <w:gridCol w:w="256"/>
        <w:gridCol w:w="146"/>
        <w:gridCol w:w="301"/>
        <w:gridCol w:w="1486"/>
        <w:gridCol w:w="301"/>
      </w:tblGrid>
      <w:tr>
        <w:trPr/>
        <w:tc>
          <w:tcPr>
            <w:tcW w:w="22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Ordinary Shares</w:t>
            </w:r>
          </w:p>
        </w:tc>
        <w:tc>
          <w:tcPr>
            <w:tcW w:w="146" w:type="dxa"/>
            <w:tcBorders/>
            <w:vAlign w:val="bottom"/>
          </w:tcPr>
          <w:p>
            <w:pPr>
              <w:pStyle w:val="TableContents"/>
              <w:bidi w:val="0"/>
              <w:spacing w:before="0" w:after="283"/>
              <w:jc w:val="left"/>
              <w:rPr/>
            </w:pPr>
            <w:r>
              <w:rPr/>
              <w:t> </w:t>
            </w:r>
          </w:p>
        </w:tc>
        <w:tc>
          <w:tcPr>
            <w:tcW w:w="18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Shareholders’</w:t>
              <w:br/>
              <w:t>Deficit</w:t>
            </w:r>
          </w:p>
        </w:tc>
      </w:tr>
      <w:tr>
        <w:trPr/>
        <w:tc>
          <w:tcPr>
            <w:tcW w:w="2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January 1, 2026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(10,921,599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(12,312,164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7,750,000 Private Placement Warrants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Public Warrants at issuance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Allocated value of transaction costs to Class A ordinary shares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2026 (unaudited)</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(15,067,159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(15,066,201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2026 (unaudited)</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(17,332,868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004"/>
      <w:bookmarkEnd w:id="27"/>
      <w:r>
        <w:rPr>
          <w:rFonts w:ascii="Times New Roman PS Std;serif" w:hAnsi="Times New Roman PS Std;serif"/>
          <w:b/>
          <w:i w:val="false"/>
          <w:caps w:val="false"/>
          <w:smallCaps w:val="false"/>
          <w:sz w:val="20"/>
        </w:rPr>
        <w:t xml:space="preserve">BLEICHROEDER ACQUISITION CORP. II </w:t>
        <w:br/>
        <w:t>CONDENSED CONSOLIDATED STATEMENT OF CASH FLOWS</w:t>
        <w:br/>
        <w:t>FOR THE SIX MONTHS ENDED JUNE 30, 2026</w:t>
        <w:br/>
        <w:t>(UNAUDITED)</w:t>
      </w:r>
    </w:p>
    <w:tbl>
      <w:tblPr>
        <w:tblW w:w="10205" w:type="dxa"/>
        <w:jc w:val="left"/>
        <w:tblInd w:w="0" w:type="dxa"/>
        <w:tblLayout w:type="fixed"/>
        <w:tblCellMar>
          <w:top w:w="0" w:type="dxa"/>
          <w:left w:w="0" w:type="dxa"/>
          <w:bottom w:w="0" w:type="dxa"/>
          <w:right w:w="0" w:type="dxa"/>
        </w:tblCellMar>
      </w:tblPr>
      <w:tblGrid>
        <w:gridCol w:w="7851"/>
        <w:gridCol w:w="146"/>
        <w:gridCol w:w="286"/>
        <w:gridCol w:w="1621"/>
        <w:gridCol w:w="301"/>
      </w:tblGrid>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(2,393,731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(199,910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6,153,680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(1,296,331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into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(287,500,000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282,500,000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Placements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promissory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(256,872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(330,390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289,662,738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7005"/>
      <w:bookmarkEnd w:id="28"/>
      <w:r>
        <w:rPr>
          <w:rFonts w:ascii="Times New Roman PS Std;serif" w:hAnsi="Times New Roman PS Std;serif"/>
          <w:b/>
          <w:i w:val="false"/>
          <w:caps w:val="false"/>
          <w:smallCaps w:val="false"/>
          <w:sz w:val="20"/>
        </w:rPr>
        <w:t xml:space="preserve">BLEICHROEDER ACQUISITION CORP. II </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19, 2026, the Company acquired 100% of the issued and outstanding equity of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(“Initial Merger Sub”), resulting in Initial Merger Sub becoming a wholly-owned subsidiary of the Company solely for the purpose of effectuating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20, 2026, the Company acquired 99.99998% of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with the other 0.00002% owned by Michel Combes. On May 26, 2026, the Company, Initial Merger Sub, Parent Merger Sub, and Pasqal (as defined below) entered into Amendment No. 1 to the Agreement and Plan of Merger and Assignment and Assumption Agreement, pursuant to which Initial Merger Sub assigned to Parent Merger Sub, and Parent Merger Sub assumed, all of Initial Merger Sub’s rights and obligations as “Parent Merger Sub” as defined under the Business Combination Agreement (as defined below), such that Parent Merger Sub was substituted for Initial Merger Sub as a party to, and as “Parent Merger Sub” under, the Business Combination Agreement for all purposes from and after that date. On the same day, the Company disposed of the Initial Merger Sub to its original seller.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the Company disposed of the Initial Merger Sub, and the Initial Merger Sub was no longer a wholly-owned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not yet commenced operations. All activity for the period from August 27, 2025 (inception) through June 30, 2026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generates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“Sponsor”).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a “Private Placement Warrant”) at a price of $1.00 per Private Placement Warrant, generating gross proceeds of $7,750,000. Of those 7,750,000 Private Placement Warrants, the Sponsor purchased 5,000,000 Private Placement Warrants, and the underwriters, Cohen &amp; Company Capital Markets (“CCM”) and Clear Street LLC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amount of deferred underwriting discounts held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“Signing Date”), the Company entered into an Agreement and Plan of Merger (as amended by Amendment No. 1, Amendment No. 2 and Amendment No. 3, each as defined below, and may be further amended, supplemented or otherwise modified from time to time in accordance with its terms the “Business Combination Agreement”), by and among the Company,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formed under the laws of the Republic of France and, at signing, a wholly owned subsidiary of the Company (“Initial Merger Sub”), and Pasqal Holding SAS,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(“Pasqal”). On May 26, 2026, the Company, Initial Merger Sub, Bleichroeder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and Pasqal entered into Amendment No. 1 to the Agreement and Plan of Merger and Assignment and Assumption Agreement (“Amendment No. 1”), pursuant to which Initial Merger Sub assigned to Parent Merger Sub, and Parent Merger Sub assumed, all of Initial Merger Sub’s rights and obligations under the Business Combination Agreement, and Parent Merger Sub was substituted for Initial Merger Sub as a party to, and as “Parent Merger Sub” under, the Business Combination Agreement for all purposes from and after that date. On June 25, 2026, the Company, Parent Merger Sub and Pasqal entered into Amendment No. 2 to the Agreement and Plan of Merger (“Amendment No. 2”). On July 22, 2026, the Company, Parent Merger Sub and Pasqal entered into Amendment No. 3 to the Agreement and Plan of Merger (“Amendment No. 3”). Pursuant to the Business Combination Agreement,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unaudited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should be read in conjunction with the Company’s Annual Report on Form 10-K for the year ended December 31, 2025, as filed with the SEC on March 16, 2026. The interim results for the three and six months ended June 30, 2026 are not necessarily indicative of the results to be expected for the year ending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Capital Resources and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January 9, 2026 had been satisfied through the loan under an unsecured promissory note from the Sponsor of up to $500,000 (Note 5). As of June 30, 2026, the Company had $866,407 of cash and had a working capital deficit of $5,158,160.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Company’s assessment of going concern considerations in accordance with ASC 205-40, “Presentation of Financial Statements--Going Concern,” as of this filing,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condition raises substantial doubt about the Company’s ability to continue as a going concern. Management plans to address this uncertainty through a Business Combination. However, there can be no assurance that the Company will be able to consummate any Business Combination by the end of the Completion Window.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Bleichroeder Acquisition 2 France was incorporated 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under the laws of the Republic of France on March 15, 2022. On February 19, 2026, the Company purchased 100% of the issued and outstanding equity of Bleichroeder Acquisition 2 France (“Initial Merger Sub”), resulting in Initial Merger Sub becoming a wholly-owned subsidiary of the Company solely for the purpose of effectuating the Business Combination. Bleichroeder Acquisition France Merger Sub 2 (“Parent Merger Sub”) was incorporated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on May 19, 2026, solely for the purpose of effectuating the business combination. On May 26, 2026, in connection with Amendment No. 1 to the Business Combination Agreement, Initial Merger Sub assigned to Parent Merger Sub, and Parent Merger Sub assumed all of Initial Merger Sub’s rights and obligations as “Parent Merger Sub” under the Business Combination Agreement, such that Parent Merger Sub was substituted for Initial Merger Sub for all purposes from and after that date. On the same day, the Company disposed of the Initial Merger Sub.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Parent Merger Sub’s issued and outstanding share capital consisted of 500,000 ordinary shares, of which 499,999 shares were held by Bleichroeder and one(1) share was held by Michel Combes. Parent Merger Sub does not own any material assets or conduct any business activities other than activities incidental to effectuating the Business Combination. The address and telephone number for Parent Merger Sub’s principal executive officers are the same as those for 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the Company and its wholly owned subsidiary. All significant intercompany balances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$866,407 of cash and did not have any cash equivalents as of June 30, 2026. The Company did not have any cash or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Held in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assets held in the Trust Account amounting to $292,280,120, were held in mutual funds composed of U.S. treasury securities. As of December 31, 2025, the Company did not have any assets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Public Warrants, using the residual method by allocating Initial Public Offering proceeds first to assigned value of the Public Warrants and then to the Class A ordinary shares. Offering costs allocated to the Public Shares were charged to temporary equity and offering costs allocated to the Public Warrants and Private Placement Warrants were charged to shareholders’ deficit as the Public Warrants and Private Placement Warrants, after management’s evaluation, were accounted for under equity treatment.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unaudited condensed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unaudited condensed consolidated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deficit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the Initial Public Offering, the Company recognized the accretion from initial book value to redemption value. The change in the carrying value of redeemable shares will result in charges against additional paid-in capital (to the extent available) and accumulated deficit. Accordingly, as of June 30, 2026, Class A ordinary shares subject to possible redemption are presented at redemption value as temporary equity, outside of the shareholders’ deficit section of the Company’s consolidated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Class A ordinary shares subject to possible redemption reflected in the consolidated balance sheets are reconciled in the following table:</w:t>
      </w:r>
    </w:p>
    <w:tbl>
      <w:tblPr>
        <w:tblW w:w="9360" w:type="dxa"/>
        <w:jc w:val="left"/>
        <w:tblInd w:w="0" w:type="dxa"/>
        <w:tblLayout w:type="fixed"/>
        <w:tblCellMar>
          <w:top w:w="0" w:type="dxa"/>
          <w:left w:w="0" w:type="dxa"/>
          <w:bottom w:w="0" w:type="dxa"/>
          <w:right w:w="0" w:type="dxa"/>
        </w:tblCellMar>
      </w:tblPr>
      <w:tblGrid>
        <w:gridCol w:w="7096"/>
        <w:gridCol w:w="146"/>
        <w:gridCol w:w="301"/>
        <w:gridCol w:w="1531"/>
        <w:gridCol w:w="286"/>
      </w:tblGrid>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Warrants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issuance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(17,644,707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March 31, 2026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289,715,723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292,280,120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Topic 260, “Earnings Per Share”. Net income (loss) per ordinary share is computed by dividing net income (loss) by the weighted average number of ordinary shares outstanding for the period. Accretion associated with the redeemable shares of Class A ordinary shares is excluded from income (loss) per ordinary share as the redemption value approximates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diluted net income (loss) per ordinary share does not consider the effect of the Public Warrants and the Private Warrants in the calculation of diluted net income (loss) per ordinary share, because in the calculation of diluted net income (loss) per ordinary share, their exercise is contingent upon future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basic and diluted net income (loss) per ordinary share (in dollars, except per-share amounts):</w:t>
      </w:r>
    </w:p>
    <w:tbl>
      <w:tblPr>
        <w:tblW w:w="10205" w:type="dxa"/>
        <w:jc w:val="left"/>
        <w:tblInd w:w="0" w:type="dxa"/>
        <w:tblLayout w:type="fixed"/>
        <w:tblCellMar>
          <w:top w:w="0" w:type="dxa"/>
          <w:left w:w="0" w:type="dxa"/>
          <w:bottom w:w="0" w:type="dxa"/>
          <w:right w:w="0" w:type="dxa"/>
        </w:tblCellMar>
      </w:tblPr>
      <w:tblGrid>
        <w:gridCol w:w="3178"/>
        <w:gridCol w:w="146"/>
        <w:gridCol w:w="288"/>
        <w:gridCol w:w="1257"/>
        <w:gridCol w:w="147"/>
        <w:gridCol w:w="288"/>
        <w:gridCol w:w="1135"/>
        <w:gridCol w:w="146"/>
        <w:gridCol w:w="286"/>
        <w:gridCol w:w="1246"/>
        <w:gridCol w:w="241"/>
        <w:gridCol w:w="146"/>
        <w:gridCol w:w="286"/>
        <w:gridCol w:w="1126"/>
        <w:gridCol w:w="289"/>
      </w:tblGrid>
      <w:tr>
        <w:trPr/>
        <w:tc>
          <w:tcPr>
            <w:tcW w:w="3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20"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(1,775,106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(618,625</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3180"/>
        <w:gridCol w:w="146"/>
        <w:gridCol w:w="288"/>
        <w:gridCol w:w="1256"/>
        <w:gridCol w:w="147"/>
        <w:gridCol w:w="288"/>
        <w:gridCol w:w="1135"/>
        <w:gridCol w:w="146"/>
        <w:gridCol w:w="286"/>
        <w:gridCol w:w="1246"/>
        <w:gridCol w:w="241"/>
        <w:gridCol w:w="146"/>
        <w:gridCol w:w="286"/>
        <w:gridCol w:w="1126"/>
        <w:gridCol w:w="288"/>
      </w:tblGrid>
      <w:tr>
        <w:trPr/>
        <w:tc>
          <w:tcPr>
            <w:tcW w:w="31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1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(1,772,116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(621,614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recently issued, but not effective, accounting standards, if currently adopted, would have a material effect on the Company’s unaudited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June 30, 2026, there were 17,333,333 Warrants outstanding, including 9,583,333 Public Warrants and 7,750,000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this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performance conditions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June 30, 2026, the Company determined that the initial Business Combination is not considered probable and therefore no compensation expense has been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Sponsor issued 15,000 Class A Units to an individual. The units represent an indirect interest in 15,000 Founder Shares. The fair value of the shares as of February 6, 2026, was determined to be $3.77 per share for an aggregate amount of $56,550.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the Sponsor issued 15,000 Class A Units to an individual. The units represent an indirect interest in 15,000 Founder Shares. The fair value of the shares as of April 1, 2026, was determined to be $9.95 per share for an aggregate amount of $149,250.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June 30, 2026 and December 31, 2025, the Company borrowed a total of $0 and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to that time, for services as COO pursuant to an advisory agreement. Prior to initial Business Combination, no payments under this agreement shall be made from amounts held in the Trust Account. As of June 30, 2026 and December 31, 2025, $103,935 and $0 has been incurred and paid for these services and is reflected in the condensed consolidated statement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will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June 30, 2026 and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and global markets are experiencing volatility and disruption following the geopolitical instability resulting from the ongoing Russia-Ukraine conflict and the middle east conflicts.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middle east conflicts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middle east conflicts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increased from $300 at December 31, 2025 to $6,153,980 at June 30, 2026, primarily due to increased accrued legal fees related to the Business Combination Agreement with Pasqal and will be paid at the closing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Signing Date, the Company entered into the Business Combination Agreement, by and among the Company, the Initial Merger Sub, and Pasqal. On May 26, 2026,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was substituted for Initial Merger Sub as a party to, and as “Parent Merger Sub” under, the Business Combination Agreement pursuant to Amendment No. 1. On June 25, 2026, the Company, Parent Merger Sub and Pasqal entered into Amendment No. 2. On July 22,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Parent Merger Sub and Pasqal entered into Amendment No. 3. Pursuant to the Business Combination Agreement, as amended,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on March 4, 2026, Bleichroeder, Initial Merger Sub and the accredited investors named therein (the “Existing Purchasers”) entered into a Securities Purchase Agreement (the “SPA”). On May 23, 2026, Bleichroeder, Initial Merger Sub, Inflection Point Asset Management LLC and an accredited investor advised by Inflection Point Asset Management LLC (the “New Purchaser” and, together with the Existing Purchasers, the “Investors”) entered into Amendment No. 1 to the SPA (the “SPA Amendment”), which increased the aggregate subscription price under the SPA by $50.0 million and joined the New Purchaser as an additional Investor under the SPA. In connection with Amendment No. 1 to the Business Combination Agreement, on May 26, 2026, Initial Merger Sub and Parent Merger Sub also entered into an assignment and assumption agreement pursuant to which Parent Merger Sub assumed all of Initial Merger Sub’s rights and obligations under the SPA and Initial Merger Sub was released from such obligations arising from and after that date. Pursuant to the SPA, as amended by the SPA Amendment, the Investors have agreed, among other things, subject to certain conditions, to purchase $312 million aggregate principal amount of senior unsecured convertible bonds convertible into New Pasqal Shares (the “Senior Unsecured Convertible Bonds”) and warrants to purchase a number of New Pasqal Shares equal to 125% of the total number of New Pasqal Shares into which the Senior Unsecured Convertible Bonds are initially convertible at Closing (the “Investment Warrants”), for an aggregate purchase price of $250 million, reflecting a 20% original issue discount (the “Investment”). The closing of the Investment shall occur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French Commercial Code, the Senior Unsecured Convertible Bonds will be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“Senior Unsecured Convertible Bonds Terms and Conditions”), and the Investment Warrants will be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“Investment Warrants Terms and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June 30, 2026 and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June 30, 2026 and December 31, 2025, there were no Class A ordinary shares issued or outstanding (excluding 28,750,000 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June 30, 2026 and December 31, 2025, there were 9,583,333 Class B ordinary shares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61"/>
        <w:gridCol w:w="146"/>
        <w:gridCol w:w="693"/>
        <w:gridCol w:w="146"/>
        <w:gridCol w:w="905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based on assessment of the assumptions that market participants would use in pricing the asset or liability.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Public Warrants is $3,373,333, or $0.352 per Public Warrant. The fair value of Public Warrants was determined using Monte Carlo Simulation Model. The Public Warrants have been classified within shareholders’ deficit and will not require remeasurement after issuance. The following table presents the quantitative information regarding market assumptions used in the Level 3 valuation of the Public Warrants:</w:t>
      </w:r>
    </w:p>
    <w:tbl>
      <w:tblPr>
        <w:tblW w:w="6225" w:type="dxa"/>
        <w:jc w:val="left"/>
        <w:tblInd w:w="0" w:type="dxa"/>
        <w:tblLayout w:type="fixed"/>
        <w:tblCellMar>
          <w:top w:w="0" w:type="dxa"/>
          <w:left w:w="0" w:type="dxa"/>
          <w:bottom w:w="0" w:type="dxa"/>
          <w:right w:w="0" w:type="dxa"/>
        </w:tblCellMar>
      </w:tblPr>
      <w:tblGrid>
        <w:gridCol w:w="4696"/>
        <w:gridCol w:w="146"/>
        <w:gridCol w:w="286"/>
        <w:gridCol w:w="706"/>
        <w:gridCol w:w="391"/>
      </w:tblGrid>
      <w:tr>
        <w:trPr/>
        <w:tc>
          <w:tcPr>
            <w:tcW w:w="4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January 9, </w:t>
              <w:br/>
              <w:t>2026</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Underlying 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De-SPAC and market adjustment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term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and liabilities that are measured at fair value on a recurring basis as of June 30, 2026 and December 31, 2025, and indicates the fair value hierarchy of the valuation techniques that the Company utilized to determine such fair value:</w:t>
      </w:r>
    </w:p>
    <w:tbl>
      <w:tblPr>
        <w:tblW w:w="10205" w:type="dxa"/>
        <w:jc w:val="left"/>
        <w:tblInd w:w="0" w:type="dxa"/>
        <w:tblLayout w:type="fixed"/>
        <w:tblCellMar>
          <w:top w:w="0" w:type="dxa"/>
          <w:left w:w="0" w:type="dxa"/>
          <w:bottom w:w="0" w:type="dxa"/>
          <w:right w:w="0" w:type="dxa"/>
        </w:tblCellMar>
      </w:tblPr>
      <w:tblGrid>
        <w:gridCol w:w="5733"/>
        <w:gridCol w:w="146"/>
        <w:gridCol w:w="706"/>
        <w:gridCol w:w="146"/>
        <w:gridCol w:w="286"/>
        <w:gridCol w:w="1366"/>
        <w:gridCol w:w="146"/>
        <w:gridCol w:w="650"/>
        <w:gridCol w:w="1026"/>
      </w:tblGrid>
      <w:tr>
        <w:trPr/>
        <w:tc>
          <w:tcPr>
            <w:tcW w:w="57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57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r>
      <w:tr>
        <w:trPr/>
        <w:tc>
          <w:tcPr>
            <w:tcW w:w="57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unaudited condensed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condensed balance sheets as total assets. When evaluating the Company’s performance and making key decisions regarding resource allocation, the CODM reviews several key metrics included in net income or loss and total assets, which include the following:</w:t>
      </w:r>
    </w:p>
    <w:tbl>
      <w:tblPr>
        <w:tblW w:w="7075" w:type="dxa"/>
        <w:jc w:val="left"/>
        <w:tblInd w:w="0" w:type="dxa"/>
        <w:tblLayout w:type="fixed"/>
        <w:tblCellMar>
          <w:top w:w="0" w:type="dxa"/>
          <w:left w:w="0" w:type="dxa"/>
          <w:bottom w:w="0" w:type="dxa"/>
          <w:right w:w="0" w:type="dxa"/>
        </w:tblCellMar>
      </w:tblPr>
      <w:tblGrid>
        <w:gridCol w:w="3451"/>
        <w:gridCol w:w="146"/>
        <w:gridCol w:w="286"/>
        <w:gridCol w:w="1366"/>
        <w:gridCol w:w="146"/>
        <w:gridCol w:w="652"/>
        <w:gridCol w:w="1028"/>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14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tbl>
      <w:tblPr>
        <w:tblW w:w="8680" w:type="dxa"/>
        <w:jc w:val="left"/>
        <w:tblInd w:w="0" w:type="dxa"/>
        <w:tblLayout w:type="fixed"/>
        <w:tblCellMar>
          <w:top w:w="0" w:type="dxa"/>
          <w:left w:w="0" w:type="dxa"/>
          <w:bottom w:w="0" w:type="dxa"/>
          <w:right w:w="0" w:type="dxa"/>
        </w:tblCellMar>
      </w:tblPr>
      <w:tblGrid>
        <w:gridCol w:w="5296"/>
        <w:gridCol w:w="146"/>
        <w:gridCol w:w="331"/>
        <w:gridCol w:w="1304"/>
        <w:gridCol w:w="146"/>
        <w:gridCol w:w="286"/>
        <w:gridCol w:w="1171"/>
      </w:tblGrid>
      <w:tr>
        <w:trPr/>
        <w:tc>
          <w:tcPr>
            <w:tcW w:w="5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June 30, </w:t>
              <w:br/>
              <w:t>2026</w:t>
            </w:r>
          </w:p>
        </w:tc>
      </w:tr>
      <w:tr>
        <w:trPr/>
        <w:tc>
          <w:tcPr>
            <w:tcW w:w="5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r>
      <w:tr>
        <w:trPr/>
        <w:tc>
          <w:tcPr>
            <w:tcW w:w="5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reviews interest earned on investments held in Trust Account to measure and monitor shareholder value and determine the most effective strategy of investment with the Trust Account funds while maintaining compliance with the Investment Management Trust Agreement, January 7, 2026, by and between the Company and Continental Stock Transfer &amp; Trust Company, (the “Trust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an initial business combination or similar transaction within the Completion Window. The CODM also reviews Formation, general, and administrative costs to manage, maintain and enforce all contractual agreements to ensure costs are aligned with all agreements and budget. Formation, general, and administrative costs, as reported on the statement of operations, are the significant segment expenses provided to the CODM on a regular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segment items included in net loss are reported on the statement of operations and described within their respective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consolidated financial statements were issued. Based upon this review, other than as described below, the Company did not identify any additional subsequent events that would have required adjustment or disclosure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the Company, Parent Merger Sub and Pasqal entered into Amendment No. 3 to the Agreement and Plan of Merger (“Amendment No. 3”), which amended and restated the provision of the Business Combination Agreement governing the equity incentive plan to be adopted by the Parent Surviving Corporation in connection with the Business Combination. As amended by Amendment No. 3, the long-term incentive plan (the “LTIP”) will provide for awards in the form of founder’s warrants or free shares of up to 10% of the aggregate number of the Parent Surviving Corporation’s shares issued and outstanding immediately after the closing of the Business Combination on a fully-diluted and as-converted basis (after giving effect to any redemptions by the Company’s shareholders). Amendment No. 3 further provides that the Company and Pasqal will negotiate additional edits to the LTIP, including vesting criteria for new award recipients based on performance conditions, in good faith based on recommendations from Pasqal’s compensation consultant, subject to approval of the Parent Surviving Corporation’s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7006"/>
      <w:bookmarkEnd w:id="29"/>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 and the Board of Directors of</w:t>
        <w:br/>
        <w:t>Bleichroeder Acquisition Corp. 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Bleichroeder Acquisition Corp. II (the “Company”) as of December 31, 2025, and the related statements of operations, changes in shareholder’s deficit, and cash flows for the period from August 27, 2025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August 27, 2025 (inception) through December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WithumSmith+Brown,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2025.</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March 16, 2026</w:t>
        <w:br/>
        <w:t>PCAOB ID Number 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07"/>
      <w:bookmarkEnd w:id="30"/>
      <w:r>
        <w:rPr>
          <w:rFonts w:ascii="Times New Roman PS Std;serif" w:hAnsi="Times New Roman PS Std;serif"/>
          <w:b/>
          <w:i w:val="false"/>
          <w:caps w:val="false"/>
          <w:smallCaps w:val="false"/>
          <w:sz w:val="20"/>
        </w:rPr>
        <w:t xml:space="preserve">BLEICHROEDER ACQUISITION CORP. II </w:t>
        <w:br/>
        <w:t>BALANCE SHEET</w:t>
        <w:br/>
        <w:t>DECEMBER 31, 2025</w:t>
      </w:r>
    </w:p>
    <w:tbl>
      <w:tblPr>
        <w:tblW w:w="10205" w:type="dxa"/>
        <w:jc w:val="left"/>
        <w:tblInd w:w="0" w:type="dxa"/>
        <w:tblLayout w:type="fixed"/>
        <w:tblCellMar>
          <w:top w:w="0" w:type="dxa"/>
          <w:left w:w="0" w:type="dxa"/>
          <w:bottom w:w="0" w:type="dxa"/>
          <w:right w:w="0" w:type="dxa"/>
        </w:tblCellMar>
      </w:tblPr>
      <w:tblGrid>
        <w:gridCol w:w="8406"/>
        <w:gridCol w:w="146"/>
        <w:gridCol w:w="301"/>
        <w:gridCol w:w="1051"/>
        <w:gridCol w:w="301"/>
      </w:tblGrid>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08"/>
      <w:bookmarkEnd w:id="31"/>
      <w:r>
        <w:rPr>
          <w:rFonts w:ascii="Times New Roman PS Std;serif" w:hAnsi="Times New Roman PS Std;serif"/>
          <w:b/>
          <w:i w:val="false"/>
          <w:caps w:val="false"/>
          <w:smallCaps w:val="false"/>
          <w:sz w:val="20"/>
        </w:rPr>
        <w:t xml:space="preserve">BLEICHROEDER ACQUISITION CORP. II </w:t>
        <w:br/>
        <w:t>STATEMENT OF OPERATIONS</w:t>
        <w:br/>
        <w:t>FOR THE PERIOD FROM AUGUST 27, 2025 (INCEPTION) THROUGH DECEMBER 31, 2025</w:t>
      </w:r>
    </w:p>
    <w:tbl>
      <w:tblPr>
        <w:tblW w:w="7755" w:type="dxa"/>
        <w:jc w:val="left"/>
        <w:tblInd w:w="0" w:type="dxa"/>
        <w:tblLayout w:type="fixed"/>
        <w:tblCellMar>
          <w:top w:w="0" w:type="dxa"/>
          <w:left w:w="0" w:type="dxa"/>
          <w:bottom w:w="0" w:type="dxa"/>
          <w:right w:w="0" w:type="dxa"/>
        </w:tblCellMar>
      </w:tblPr>
      <w:tblGrid>
        <w:gridCol w:w="5881"/>
        <w:gridCol w:w="146"/>
        <w:gridCol w:w="301"/>
        <w:gridCol w:w="1126"/>
        <w:gridCol w:w="301"/>
      </w:tblGrid>
      <w:tr>
        <w:trPr/>
        <w:tc>
          <w:tcPr>
            <w:tcW w:w="5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loss per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Excluded an aggregate of up to 1,250,000 Class B ordinary shares that were subject to forfeiture depending on the extent to which the underwriters’ over-allotment option was exercised (see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09"/>
      <w:bookmarkEnd w:id="32"/>
      <w:r>
        <w:rPr>
          <w:rFonts w:ascii="Times New Roman PS Std;serif" w:hAnsi="Times New Roman PS Std;serif"/>
          <w:b/>
          <w:i w:val="false"/>
          <w:caps w:val="false"/>
          <w:smallCaps w:val="false"/>
          <w:sz w:val="20"/>
        </w:rPr>
        <w:t xml:space="preserve">BLEICHROEDER ACQUISITION CORP. II </w:t>
        <w:br/>
        <w:t>STATEMENT OF CHANGES IN SHAREHOLDER’S DEFICIT</w:t>
        <w:br/>
        <w:t>FOR THE PERIOD FROM AUGUST 27, 2025 (INCEPTION) THROUGH DECEMBER 31, 2025</w:t>
      </w:r>
    </w:p>
    <w:tbl>
      <w:tblPr>
        <w:tblW w:w="12188" w:type="dxa"/>
        <w:jc w:val="left"/>
        <w:tblInd w:w="0" w:type="dxa"/>
        <w:tblLayout w:type="fixed"/>
        <w:tblCellMar>
          <w:top w:w="0" w:type="dxa"/>
          <w:left w:w="0" w:type="dxa"/>
          <w:bottom w:w="0" w:type="dxa"/>
          <w:right w:w="0" w:type="dxa"/>
        </w:tblCellMar>
      </w:tblPr>
      <w:tblGrid>
        <w:gridCol w:w="2651"/>
        <w:gridCol w:w="146"/>
        <w:gridCol w:w="871"/>
        <w:gridCol w:w="146"/>
        <w:gridCol w:w="415"/>
        <w:gridCol w:w="561"/>
        <w:gridCol w:w="146"/>
        <w:gridCol w:w="1261"/>
        <w:gridCol w:w="146"/>
        <w:gridCol w:w="336"/>
        <w:gridCol w:w="640"/>
        <w:gridCol w:w="146"/>
        <w:gridCol w:w="301"/>
        <w:gridCol w:w="916"/>
        <w:gridCol w:w="146"/>
        <w:gridCol w:w="301"/>
        <w:gridCol w:w="1006"/>
        <w:gridCol w:w="256"/>
        <w:gridCol w:w="146"/>
        <w:gridCol w:w="309"/>
        <w:gridCol w:w="1032"/>
        <w:gridCol w:w="310"/>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Ordinary Shares</w:t>
            </w:r>
          </w:p>
        </w:tc>
        <w:tc>
          <w:tcPr>
            <w:tcW w:w="146" w:type="dxa"/>
            <w:tcBorders/>
            <w:vAlign w:val="bottom"/>
          </w:tcPr>
          <w:p>
            <w:pPr>
              <w:pStyle w:val="TableContents"/>
              <w:bidi w:val="0"/>
              <w:spacing w:before="0" w:after="283"/>
              <w:jc w:val="left"/>
              <w:rPr/>
            </w:pPr>
            <w:r>
              <w:rPr/>
              <w:t> </w:t>
            </w:r>
          </w:p>
        </w:tc>
        <w:tc>
          <w:tcPr>
            <w:tcW w:w="121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5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651"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Shareholder’s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Shares(1)</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1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1"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August 27, 2025 (inception)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Class B ordinary to Sponsor(1)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1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2025</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10"/>
      <w:bookmarkEnd w:id="33"/>
      <w:r>
        <w:rPr>
          <w:rFonts w:ascii="Times New Roman PS Std;serif" w:hAnsi="Times New Roman PS Std;serif"/>
          <w:b/>
          <w:i w:val="false"/>
          <w:caps w:val="false"/>
          <w:smallCaps w:val="false"/>
          <w:sz w:val="20"/>
        </w:rPr>
        <w:t xml:space="preserve">BLEICHROEDER ACQUISITION CORP. II </w:t>
        <w:br/>
        <w:t>STATEMENT OF CASH FLOWS</w:t>
        <w:br/>
        <w:t>FOR THE PERIOD FROM AUGUST 27, 2025 (INCEPTION) THROUGH DECEMBER 31, 2025</w:t>
      </w:r>
    </w:p>
    <w:tbl>
      <w:tblPr>
        <w:tblW w:w="10205" w:type="dxa"/>
        <w:jc w:val="left"/>
        <w:tblInd w:w="0" w:type="dxa"/>
        <w:tblLayout w:type="fixed"/>
        <w:tblCellMar>
          <w:top w:w="0" w:type="dxa"/>
          <w:left w:w="0" w:type="dxa"/>
          <w:bottom w:w="0" w:type="dxa"/>
          <w:right w:w="0" w:type="dxa"/>
        </w:tblCellMar>
      </w:tblPr>
      <w:tblGrid>
        <w:gridCol w:w="8541"/>
        <w:gridCol w:w="146"/>
        <w:gridCol w:w="286"/>
        <w:gridCol w:w="946"/>
        <w:gridCol w:w="286"/>
      </w:tblGrid>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costs paid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Ending</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7011"/>
      <w:bookmarkEnd w:id="34"/>
      <w:r>
        <w:rPr>
          <w:rFonts w:ascii="Times New Roman PS Std;serif" w:hAnsi="Times New Roman PS Std;serif"/>
          <w:b/>
          <w:i w:val="false"/>
          <w:caps w:val="false"/>
          <w:smallCaps w:val="false"/>
          <w:sz w:val="20"/>
        </w:rPr>
        <w:t xml:space="preserve">BLEICHROEDER ACQUISITION CORP. II </w:t>
        <w:br/>
        <w:t>NOTES TO FINANCIAL STATEMENTS</w:t>
        <w:br/>
        <w:t>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that the Company has not yet identified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not yet commenced operations. All activity for the period from August 27, 2025 (inception) through December 31, 2025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will generate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deferred underwriting commissions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held in the Trust Account that may be released to the Company to pay its taxes, if any, the proceeds from the Initial Public Offering and the sale of the Private Placement Units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subject to redemption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are presented in conformity with accounting principles generally accepted in the United States of America (“U.S. GAAP”) and pursuant to the rules and regulations of the U.S. Securities and Exchange Commission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December 31, 2025 had been satisfied through the loan under an unsecured promissory note from the Sponsor of up to $500,000 (Note 5). As of December 31, 2025, the Company had no cash and had a working capital deficit of $254,601.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in accordance with FASB ASC Topic 205-40, “Presentation of Financial Statements — Going Concern”, the Company has completed its Initial Public Offering on January 9, 2026, at which time the capital in excess of the funds deposited in Trust Account and/or used to fund offering costs and other expenses was released to the Company for general capital purposes. The Company does not believe it will need to raise additional funds in order to meet the expenditures required to operate its business. However, if the estimate of the costs of identifying a target business, undertaking in-depth due diligence and negotiating a Business Combination are less than the actual amount necessary to do so, the Company may have insufficient funds available to operate its business prior to the Initial Business Combination. The Company has the Completion Window to complete the initial Business Combination. Management has determined that upon the consummation of the Initial Public Offering and the sale of the Private Placement Warrants on January 9, 2026, the Company has sufficient funds to finance the working capital needs of the Company within one year from the date of issuance of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no cash and did not have any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FASB Topic ASC 340-10-S99 and SEC Staff Accounting Bulletin Topic 5A, “Expenses of Offering.” Deferred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prorate, allocating the Initial Public Offering proceeds to the assigned value of the warrants and to the Class A ordinary shares. On January 9, 2026, upon completion of the Initial Public Offering, offering costs allocated to the Public Shares are charged to temporary equity and offering costs allocated to the Public and Private Placement Warrants are charged to shareholder’s deficit as Public and Private Placement Warrants, after management’s evaluation, are accounted for under equity treatment.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 primarily due to its short-term nature.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 Per Class B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Class B ordinary share is computed by dividing net loss by the weighted average number of Class B ordinary shares outstanding during the period, excluding Class B ordinary shares subject to forfeiture. Weighted average shares were reduced for the effect of an aggregate of 1,250,000 ordinary shares that were subject to forfeiture if the over-allotment option was not exercised by the underwriters (see Note 5). As of December 31, 2025, the Company did not have any dilutive securities or other contracts that could, potentially, be exercised or converted into ordinary shares and then share in the earnings of the Company. As a result, diluted net loss per Class B ordinary share is the same as basic net loss per Class B ordinary share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financial instruments to determine if such instruments are derivatives or contain features that qualify as embedded derivatives in accordance with FASB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 cash settlement or conversion of the instrument could be required within 12 months of the balance sheet date. The underwriters’ over-allotment option is deemed to be a freestanding financial instrument indexed on the contingently redeemable shares and will be accounted for as a liability pursuant to ASC 480 if not fully exercised at the time of the Initial Public Offering. On January 9, 2026, the underwriters exercised their over-allotment option in full in the amount of 3,750,000 Units as part of the closing of the Initial Public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 As of December 31, 2025, there were no Public Warrants and Private Placement Warrants issued or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Accounting Standards Update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 on August 27, 2025, its date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effective, accounting standards, if currently adopted, would have a material effect on the Company’s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December 31, 2025, there were no Public Warrants and Private Placement Warrants issued or outstanding.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the Initial Public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a performance condition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December 31, 2025, the Company determined that the initial Business Combination is not considered probable and therefore no compensation expense has been 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December 31, 2025, the Company borrowed a total of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that time, for services as COO pursuant to an advisory agreement. Prior to initial Business Combination, no payments under this agreement shall be made from amounts held in the Trust Account. As of December 31, 2025, no amount has been accrued for these services in the Company’s balance sheet.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and global markets are experiencing volatility and disruption following the geopolitical instability resulting from the ongoing Russia-Ukraine conflict and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Israel-Hamas conflict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December 31, 2025, there were no Class A ordinary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December 31, 2025, there were 9,583,333 Class B ordinary shares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which include the following:</w:t>
      </w:r>
    </w:p>
    <w:tbl>
      <w:tblPr>
        <w:tblW w:w="4123" w:type="dxa"/>
        <w:jc w:val="left"/>
        <w:tblInd w:w="0" w:type="dxa"/>
        <w:tblLayout w:type="fixed"/>
        <w:tblCellMar>
          <w:top w:w="0" w:type="dxa"/>
          <w:left w:w="0" w:type="dxa"/>
          <w:bottom w:w="0" w:type="dxa"/>
          <w:right w:w="0" w:type="dxa"/>
        </w:tblCellMar>
      </w:tblPr>
      <w:tblGrid>
        <w:gridCol w:w="2356"/>
        <w:gridCol w:w="146"/>
        <w:gridCol w:w="363"/>
        <w:gridCol w:w="1258"/>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r>
    </w:tbl>
    <w:tbl>
      <w:tblPr>
        <w:tblW w:w="6508" w:type="dxa"/>
        <w:jc w:val="left"/>
        <w:tblInd w:w="0" w:type="dxa"/>
        <w:tblLayout w:type="fixed"/>
        <w:tblCellMar>
          <w:top w:w="0" w:type="dxa"/>
          <w:left w:w="0" w:type="dxa"/>
          <w:bottom w:w="0" w:type="dxa"/>
          <w:right w:w="0" w:type="dxa"/>
        </w:tblCellMar>
      </w:tblPr>
      <w:tblGrid>
        <w:gridCol w:w="4501"/>
        <w:gridCol w:w="146"/>
        <w:gridCol w:w="460"/>
        <w:gridCol w:w="1401"/>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Period from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August 27, 2025</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(Inception)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Through</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br/>
              <w:t>2025</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 Business Combination or similar transaction within the completion window. The CODM also reviews formation, general, and administrative expenses to manage, maintain and enforce all contractual agreements to ensure costs are aligned with all agreements and budget. Formation and general and administrative costs, as reported on the statement of operations, are the significant segment expenses provided to the CODM on a regular basis. All other segment items included in net income or loss are reported on the statement of operations and described within their respective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to measure the profit and loss of the segment are the same as those described in the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through March 16, 2026, the date that the financial statements were issued. Based upon this review, other than as described below, the Company did not identify any subsequent events that would have required adjustment or disclosure in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January 7, 2026. On January 9, 2026, the Company consummated the Initial Public Offering of 28,750,000 Units, which includes the full exercise by the underwriters of their over-allotment option of 3,750,000 Units, at $10.00 per Unit, generating gross proceeds of $287,500,000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Company fully settled the $256,872 outstanding balance of the promissory note. Borrowings under the promissory note are no longer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underwriters were paid in cash an underwriting discount of $5,000,000 simultaneously with the closing of the Initial Public Offering. In addition, the underwriters are entitled to a deferred underwriting discount of $12,250,000 in the aggregate.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2026, the Company announced that, commencing on January 28, 2026, the holders of the Units sold in the Initial Public Offering, may elect to separately trade the Class A ordinary shares and the Warrants included in the Units. No fractional Warrants will be issued upon separation of the Units and only whole Warrants will trade. Any Units not separated will continue to trade on the Nasdaq Global Market under the symbol “BBCQU.” The Class A ordinary shares and the Warrants are expected to trade on the Nasdaq Global Market under the symbols “BBCQ” and “BBCQW,” respectively. Holders of Units will need to have their brokers contact Continental Stock Transfer &amp; Trust Company, the Company’s transfer agent, in order to separate the Units into Class A ordinary Shares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Company entered into an Agreement and Plan of Merger (as it may be amended, supplemented or otherwise modified from time to time in accordance with its terms, the “Business Combination Agreement”), with Bleichroeder Acquisition 2 France,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 and wholly owned subsidiary of Bleichroeder, and Pasqal Holding SAS,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is expected to be funded by a combination of the Company’s Trust Account and expected proceeds from a public investment in private equity. The closing of the transaction is expected to occur in the second half of 2026 and is subject to customary closing conditions, including regulatory and shareholder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7012"/>
      <w:bookmarkEnd w:id="35"/>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Board of Directors and Shareholders of Pasqal: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audited the accompanying consolidated statements of financial position of Pasqal and its subsidiaries (the “Company”) as of December 31, 2025 and December 31, 2024, and the related consolidated statements of profit or loss and other comprehensive income, consolidated statements of changes in equity and consolidated statements of cash flows for the years then ended, including the related notes (collectively referred to as the “consolidated financial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our opinion, the consolidated financial statements present fairly, in all material respects, the financial position of the Company as of December 31, 2025 and December 31, 2024, and the results of its operations and its cash flows for the years then ended in conformity with International Financial Reporting Standards as issued by the International Accounting Standards Board.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PricewaterhouseCoopers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Neuilly-sur-Seine, France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May 26, 2026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7013"/>
      <w:bookmarkEnd w:id="36"/>
      <w:r>
        <w:rPr>
          <w:rFonts w:ascii="Times New Roman PS Std;serif" w:hAnsi="Times New Roman PS Std;serif"/>
          <w:b/>
          <w:i w:val="false"/>
          <w:caps w:val="false"/>
          <w:smallCaps w:val="false"/>
          <w:sz w:val="20"/>
        </w:rPr>
        <w:t xml:space="preserve">PASQAL SAS </w:t>
        <w:br/>
        <w:t>CONSOLIDATED STATEMENTS OF FINANCIAL POSITION</w:t>
      </w:r>
    </w:p>
    <w:tbl>
      <w:tblPr>
        <w:tblW w:w="9050" w:type="dxa"/>
        <w:jc w:val="left"/>
        <w:tblInd w:w="0" w:type="dxa"/>
        <w:tblLayout w:type="fixed"/>
        <w:tblCellMar>
          <w:top w:w="0" w:type="dxa"/>
          <w:left w:w="0" w:type="dxa"/>
          <w:bottom w:w="0" w:type="dxa"/>
          <w:right w:w="0" w:type="dxa"/>
        </w:tblCellMar>
      </w:tblPr>
      <w:tblGrid>
        <w:gridCol w:w="4531"/>
        <w:gridCol w:w="146"/>
        <w:gridCol w:w="766"/>
        <w:gridCol w:w="146"/>
        <w:gridCol w:w="1330"/>
        <w:gridCol w:w="305"/>
        <w:gridCol w:w="146"/>
        <w:gridCol w:w="1321"/>
        <w:gridCol w:w="359"/>
      </w:tblGrid>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83,844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86,294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14,538</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73,762</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103,980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131,114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(32,533</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(75,811</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30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5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(4,415</w:t>
            </w:r>
          </w:p>
        </w:tc>
        <w:tc>
          <w:tcPr>
            <w:tcW w:w="30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9,627</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38,168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45,754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22,977</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154,070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48,579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and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7014"/>
      <w:bookmarkEnd w:id="37"/>
      <w:r>
        <w:rPr>
          <w:rFonts w:ascii="Times New Roman PS Std;serif" w:hAnsi="Times New Roman PS Std;serif"/>
          <w:b/>
          <w:i w:val="false"/>
          <w:caps w:val="false"/>
          <w:smallCaps w:val="false"/>
          <w:sz w:val="20"/>
        </w:rPr>
        <w:t xml:space="preserve">PASQAL SAS </w:t>
        <w:br/>
        <w:t>CONSOLIDATED STATEMENTS OF PROFIT OR LOSS AND OTHER COMPREHENSIVE INCOME</w:t>
      </w:r>
    </w:p>
    <w:tbl>
      <w:tblPr>
        <w:tblW w:w="9547" w:type="dxa"/>
        <w:jc w:val="left"/>
        <w:tblInd w:w="0" w:type="dxa"/>
        <w:tblLayout w:type="fixed"/>
        <w:tblCellMar>
          <w:top w:w="0" w:type="dxa"/>
          <w:left w:w="0" w:type="dxa"/>
          <w:bottom w:w="0" w:type="dxa"/>
          <w:right w:w="0" w:type="dxa"/>
        </w:tblCellMar>
      </w:tblPr>
      <w:tblGrid>
        <w:gridCol w:w="5086"/>
        <w:gridCol w:w="146"/>
        <w:gridCol w:w="706"/>
        <w:gridCol w:w="146"/>
        <w:gridCol w:w="1303"/>
        <w:gridCol w:w="333"/>
        <w:gridCol w:w="146"/>
        <w:gridCol w:w="1290"/>
        <w:gridCol w:w="391"/>
      </w:tblGrid>
      <w:tr>
        <w:trPr/>
        <w:tc>
          <w:tcPr>
            <w:tcW w:w="50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2025</w:t>
            </w:r>
          </w:p>
        </w:tc>
        <w:tc>
          <w:tcPr>
            <w:tcW w:w="146" w:type="dxa"/>
            <w:tcBorders/>
            <w:vAlign w:val="bottom"/>
          </w:tcPr>
          <w:p>
            <w:pPr>
              <w:pStyle w:val="TableContents"/>
              <w:bidi w:val="0"/>
              <w:spacing w:before="0" w:after="283"/>
              <w:jc w:val="left"/>
              <w:rPr/>
            </w:pPr>
            <w:r>
              <w:rP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2024</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(50,496</w:t>
            </w:r>
          </w:p>
        </w:tc>
        <w:tc>
          <w:tcPr>
            <w:tcW w:w="33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(46,750</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(92,263</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(48,844</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927"/>
        <w:gridCol w:w="146"/>
        <w:gridCol w:w="406"/>
        <w:gridCol w:w="146"/>
        <w:gridCol w:w="946"/>
        <w:gridCol w:w="241"/>
        <w:gridCol w:w="146"/>
        <w:gridCol w:w="946"/>
        <w:gridCol w:w="301"/>
      </w:tblGrid>
      <w:tr>
        <w:trPr/>
        <w:tc>
          <w:tcPr>
            <w:tcW w:w="69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 comprehensive loss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Items that may be reclassified to profit or loss in subsequent periods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Items that will not be reclassified to profit or </w:t>
            </w:r>
            <w:r>
              <w:rPr>
                <w:rFonts w:ascii="Times New Roman PS Std;serif" w:hAnsi="Times New Roman PS Std;serif"/>
                <w:b/>
                <w:i w:val="false"/>
                <w:caps w:val="false"/>
                <w:smallCaps w:val="false"/>
                <w:sz w:val="20"/>
              </w:rPr>
              <w:t xml:space="preserve">loss/income </w:t>
            </w:r>
            <w:r>
              <w:rPr>
                <w:rFonts w:ascii="Times New Roman PS Std;serif" w:hAnsi="Times New Roman PS Std;serif"/>
                <w:b/>
                <w:i/>
                <w:caps w:val="false"/>
                <w:smallCaps w:val="false"/>
                <w:sz w:val="20"/>
              </w:rPr>
              <w:t>in subsequent periods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defined benefit plans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impact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(loss)/income for the year, net of tax</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year</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(92,245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(48,591</w:t>
            </w:r>
          </w:p>
        </w:tc>
        <w:tc>
          <w:tcPr>
            <w:tcW w:w="30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per share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losses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7015"/>
      <w:bookmarkEnd w:id="38"/>
      <w:r>
        <w:rPr>
          <w:rFonts w:ascii="Times New Roman PS Std;serif" w:hAnsi="Times New Roman PS Std;serif"/>
          <w:b/>
          <w:i w:val="false"/>
          <w:caps w:val="false"/>
          <w:smallCaps w:val="false"/>
          <w:sz w:val="20"/>
        </w:rPr>
        <w:t xml:space="preserve">PASQAL SAS </w:t>
        <w:br/>
        <w:t>CONSOLIDATED STATEMENTS OF CHANGES IN EQUITY</w:t>
      </w:r>
    </w:p>
    <w:tbl>
      <w:tblPr>
        <w:tblW w:w="13248" w:type="dxa"/>
        <w:jc w:val="left"/>
        <w:tblInd w:w="0" w:type="dxa"/>
        <w:tblLayout w:type="fixed"/>
        <w:tblCellMar>
          <w:top w:w="0" w:type="dxa"/>
          <w:left w:w="0" w:type="dxa"/>
          <w:bottom w:w="0" w:type="dxa"/>
          <w:right w:w="0" w:type="dxa"/>
        </w:tblCellMar>
      </w:tblPr>
      <w:tblGrid>
        <w:gridCol w:w="1541"/>
        <w:gridCol w:w="146"/>
        <w:gridCol w:w="545"/>
        <w:gridCol w:w="251"/>
        <w:gridCol w:w="146"/>
        <w:gridCol w:w="961"/>
        <w:gridCol w:w="241"/>
        <w:gridCol w:w="146"/>
        <w:gridCol w:w="762"/>
        <w:gridCol w:w="214"/>
        <w:gridCol w:w="146"/>
        <w:gridCol w:w="1113"/>
        <w:gridCol w:w="268"/>
        <w:gridCol w:w="146"/>
        <w:gridCol w:w="841"/>
        <w:gridCol w:w="286"/>
        <w:gridCol w:w="146"/>
        <w:gridCol w:w="1049"/>
        <w:gridCol w:w="527"/>
        <w:gridCol w:w="146"/>
        <w:gridCol w:w="901"/>
        <w:gridCol w:w="241"/>
        <w:gridCol w:w="146"/>
        <w:gridCol w:w="991"/>
        <w:gridCol w:w="146"/>
        <w:gridCol w:w="916"/>
        <w:gridCol w:w="286"/>
      </w:tblGrid>
      <w:tr>
        <w:trPr/>
        <w:tc>
          <w:tcPr>
            <w:tcW w:w="15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capital</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premium</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Treasury </w:t>
              <w:br/>
              <w:t>shares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reserves</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comprehensive </w:t>
              <w:br/>
              <w:t>income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Loss of </w:t>
              <w:br/>
              <w:t>the year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Minority </w:t>
              <w:br/>
              <w:t>interests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equity</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2024</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(22,480</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25,699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w:t>
            </w:r>
          </w:p>
        </w:tc>
        <w:tc>
          <w:tcPr>
            <w:tcW w:w="5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79,331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(48,537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Acquisition (cancellation) of treasury shares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Conversion of preferred shares and other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2024</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692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(75,811</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25,269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Issue of share capital</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30,842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(60,956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91,776</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24,315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55,204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2025</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70,158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(32,533</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See Note 9.3.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7016"/>
      <w:bookmarkEnd w:id="39"/>
      <w:r>
        <w:rPr>
          <w:rFonts w:ascii="Times New Roman PS Std;serif" w:hAnsi="Times New Roman PS Std;serif"/>
          <w:b/>
          <w:i w:val="false"/>
          <w:caps w:val="false"/>
          <w:smallCaps w:val="false"/>
          <w:sz w:val="20"/>
        </w:rPr>
        <w:t xml:space="preserve">PASQAL SAS </w:t>
        <w:br/>
        <w:t>CONSOLIDATED STATEMENTS OF CASH FLOWS</w:t>
      </w:r>
    </w:p>
    <w:tbl>
      <w:tblPr>
        <w:tblW w:w="10205" w:type="dxa"/>
        <w:jc w:val="left"/>
        <w:tblInd w:w="0" w:type="dxa"/>
        <w:tblLayout w:type="fixed"/>
        <w:tblCellMar>
          <w:top w:w="0" w:type="dxa"/>
          <w:left w:w="0" w:type="dxa"/>
          <w:bottom w:w="0" w:type="dxa"/>
          <w:right w:w="0" w:type="dxa"/>
        </w:tblCellMar>
      </w:tblPr>
      <w:tblGrid>
        <w:gridCol w:w="5758"/>
        <w:gridCol w:w="146"/>
        <w:gridCol w:w="706"/>
        <w:gridCol w:w="146"/>
        <w:gridCol w:w="1297"/>
        <w:gridCol w:w="330"/>
        <w:gridCol w:w="146"/>
        <w:gridCol w:w="1284"/>
        <w:gridCol w:w="392"/>
      </w:tblGrid>
      <w:tr>
        <w:trPr/>
        <w:tc>
          <w:tcPr>
            <w:tcW w:w="57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2024</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operations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(29,922</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INVESTING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plant and equipment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intangible asset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government grants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deposits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2,051</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subsidiary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(5,371</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(28,595</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borrowings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69,435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7,814</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borrowings and lease liabilities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(2,376</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capital increases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96,723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4,764</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 and cash equivalents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67,082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(53,754</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beginning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60,896</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end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7017"/>
      <w:bookmarkEnd w:id="40"/>
      <w:r>
        <w:rPr>
          <w:rFonts w:ascii="Times New Roman PS Std;serif" w:hAnsi="Times New Roman PS Std;serif"/>
          <w:b/>
          <w:i w:val="false"/>
          <w:caps w:val="false"/>
          <w:smallCaps w:val="false"/>
          <w:sz w:val="20"/>
        </w:rPr>
        <w:t xml:space="preserve">PASQAL SAS </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Corporate information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 (“the Company” or “the parent”) is a simplified corporation incorporated in France under French law. It was created in March 2019 for a term of 99 years and is registered with the Evry Trade and Companies Register under number 849 441 522. The registered office is located at 24 Rue Emile Baudot, 91120 Palaiseau, France. Pasqal S.A.S. and its subsidiaries are collectively referred to as “the Pasqal Group” or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principally engaged in the development and commercialization of modular neutral-atom quantum processing units (“QPUs”) based on neutral atoms arranged in 2D and 3D lattices, providing useful quantum advantages to its customers to solve real-world problems. They are designed for highly-scalable computational capabilities, precise qubit control, and improved coherence times in both analog and digital modes and can operate in standard data-center environments. Pasqal’s technology targets complex computational use cases across multiple industries and is supported by strategic research, industrial, cloud, and high-performance computing partnerships.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Key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Key events during the 2025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first quarter of 2025, management decided to close the Japanese subsidiary in connection with an internal reorganization program. The procedure was finalized with an effective date of April 30, 2025. The impact of this closure on the Group’s financial statements is not material. See Note 32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Netherlands B.V. was closed on 24 June 2025. The other entities of the subgroup, Pasqal UK Limited and Qu &amp; Co Solutions GmbH, ceased their activities on the same date. As part of this process, a bankruptcy trustee was appointed in the Netherlands. A strike-off procedure has been initiated for Pasqal UK Limited, and a solvent wind-down will be initiated for Qu&amp;Co Solutions GmbH. The related impact on the Group’s financial statements is not material. See Note 32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 Changes in corporate governance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April 1, 2025, following the resignation of Georges-Olivier Reymond from his position as Chairman of Pasqal SAS, Loïc Henriet was appointed to replace him.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October 29, 2025, Wasiq Bokhari was appointed as Managing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secure its financing needs for the 2025 financial year and beyond, the Group completed a refinancing through the issuance of bonds redeemable in shares (ORA) for a total amount of €68,295 thousand between April and December 2025, following a decision of the Supervisory Committee on 20 February 2025. The issuance was carried out pursuant to the authorizations granted by the shareholders at the Shareholders’ Meetings held on March 1 and September 19, 2025. The ORA are designated at fair value through profit or loss and amount to €102,278 thousand as of December 31, 2025.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5 July 2024, Pasqal entered into an agreement with CMA CGM Group for the issuance of a €5,000 thousand convertible bond (OCA). On 15 October 2025, CMA CGM requested early redemption for an amount of €5,312 thousand, corresponding to the nominal value plus accrued interest, which was settled through the issuance of an ORA for the same amount. The OCA was derecognized and the ORA was recognized at fair value on the same date. Any resulting difference was recognized in profit or loss.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Starting in December 2025, the Group carried out several capital increases through the issuance of new common shares (“Series C Shares”). In December 2025, 225,741 Series C Shares were subscribed for total proceeds of €31,500 thousand. Further issuances occurred in early 2026 for a total amount of €69,738 thousand (see Notes 9.1 and 31.4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March 2025, Pasqal entered into an agreement with the European High Performance Computing Joint Undertaking (EuroHPC JU) for the delivery of EuroQCS-Italy, a first-generation neutral-atom quantum computer to be hosted by CINECA in Bologna and integrated into the Leonardo pre-exascale supercomputer. The system is expected to offer at least 140 qubits in analog mode with commissioning planned in 2026, followed by an upgrade to a hybrid analog/digital architecture in 2027. The contract, co-funded equally by EuroHPC JU and the Italian Ministry of University and Research, has a total price of €12,990 thousand. As at 31 December 2025, no revenue has been recognized, as the commissioning of the system had not yet occurred. See Notes 15 and 19.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Grant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November 2025, Pasqal entered into a grant agreement to support its development plan in South Korea and the broader Asia-Pacific region for a total amount of ₩24 billion (approximately €14 million). In accordance with IAS 20, the grant is allocated between asset-related and income-related components based on the nature of the underlying eligible expenditures. As at 31 December 2025, this grant is presented as deferred income in the statement of financial position and no income has been recognized in profit or loss. See Note 15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October 2025, the Group entered into a $15,000 thousand, ten-year financing arrangement with the Illinois Finance Authority (IFA) to support its development in the United States. The loan bears interest at a fixed rate and includes a deferred-interest period. In parallel, the Group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Illinois Finance Authority for quantum computers manufactured at the Illinois site and sold or leased during the loan term. As of 31 December 2025, no such fee has been incurred.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1 August 2025, Pasqal was awarded €2,209 thousand for PASQUOPS, a cross-border Franco-German project running from 2025 to 2028 and funded through national innovation agencies in France (BPI) and Germany (VDI). With a total budget of €3,726 thousand, Pasqal leads a consortium of six partners to develop scalable, fault-tolerant neutral-atom quantum computing by improving qubit and gate performance, reducing resources required for logical operations, and identifying relevant real-world applications. See Note 15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Key events during the 2024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29, 2024, Pasqal S.A.S. finalized the acquisition of Aeponyx Enterprises through a holding company, Photonic Integrated Circuits Inc. Aeponyx is specialized in the development of photonic integrated circuits. This acquisition aims to support the growth of the Pasqal Group and the development of quantum computing technologies. Further information is provided in Notes 7.1, 17 and 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 Changes in shareholder’s equity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June 12, 2024, the shareholders decided to increase the share capital by €659,898.50 through the capitalization of share premiums. This transaction was followed by a 100-for-1 stock split, resulting in 6,946,300 shares outstanding with a par value of €0.10 per share, with no impact on total equity. This stock split has been reflected retrospectively.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11, 2024, the Chairman decided to reduce the share capital by €2,330 through the cancellation of 23,300 treasury shares repurchased in 2023, resulting in a €1,702,430 decrease in share premiums.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5, 2024, Pasqal S.A.S. issued a convertible bond to the CMA CGM Group in an amount of €5,000 thousand, completed in August 2024. The bond bears interest at a rate of 5% and matures on December 31, 2025. As of December 31, 2024, it is recognized as a financial instrument at fair value through profit and loss with the corresponding change in fair value recognized in change in fair value of financial liabilities at FVPL. Further details are provided in Note 10.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December 2023, the Group signed a lease agreement for new premises in Paris (“Sentier lease”), secured by a first-demand bank guarantee of €2,314 thousand. During the fourth quarter of 2024, management considered different options regarding this lease including its early termination as there was a high probability that those premises would not be occupied. The decision to exit that lease was finally taken in January 2025 and the related termination costs amounting to €2,729 thousand were booked as of December 31, 2024. Those costs also include €414 thousand fit-out and refurbishment costs.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this situation qualifies as an adjusting event under IAS 10, the financial statements for the year ended December 31, 2024, include a provision of €2,729 thousand for lease termination costs. The amount was determined based on the final settlement agreement signed in June 2025. This provision is classified under current liabilities as it is expected to be settled within 12 months, with the corresponding expense presented in operating loss in the consolidated income statement. This provision was fully utilized in 2025 when the contract was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 refurbishment of the Phénix offices, the registered office of Pasqal S.A.S. was relocated to 24 Rue Émile Baudot, 91120 Palaiseau, France. See Note 7.4 for further disclosure.</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Basis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entities controlled by the Group. Control exists when the Group has power over the investee, is exposed (or has rights) to variable returns from its involvement with the investee and has the ability to use its power to affect those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fully consolidated from the date control is obtained until the date control ceases. Intercompany balances, transactions, income and expenses are eliminated on consolidation. See Note 32 for further disclosures.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Basis of preparation of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 Statement of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IFRS as issued by the International Accounting Standards Board (IASB). The financial statements have been prepared using International Accounting Standards (IAS and IFRS) and interpretations issued by the International Financial Reporting Interpretations Committee (IFRIC IC) (SIC and IFRIC).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 Reporting period and comparative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presented for the year ended December 31, 2025, with comparative information provided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year amounts have been reclassified to conform to the current year presentation. These classifications had no impact on previously reported net income, stockholder’s equity,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 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preparation of the consolidated financial statements included in the registration statement on Form F-4, management identified certain material weaknesses in the Company’s internal control over financial reporting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 weaknesses are described in the section “Risk Factors” of the registration statement. Management has initiated remediation actions to address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 Authorization for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were authorized for issue by the Group’s Board of Directors on May 23, 2026. The consolidated financial statements were approved by the President of Pasqal SAS on May 23,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 Judgments and 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accordance with IFRS requires management to make judgments, estimates and assumptions that affect the reported amounts of assets and liabilities, disclosure of contingent assets and liabilities at the reporting date, and the reported amounts of income and expenses during the financial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estimates and assessments are evaluated on an ongoing basis based on past experience and various other factors deemed reasonable that form the basis for assessing the carrying amount of assets and liabilities. Actual results may differ materially from these estimates depending on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judgments and estimates relate to the following.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 Fair value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issues financial instruments that are measured at fair value at each reporting date and classified as financial liabilities in the financial statements. The fair values of these financial liabilities cannot be determined based on quoted prices in active markets and are therefore measured using valuation techniques. The determination of fair value requires the use of judgement, and changes in the assumptions applied could have a significant impact on the reported fair values of these financial instruments. The related financial instruments, valuation techniques and key assumptions are disclosed in Notes 10 and 14.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capitalizes costs for product development projects. Initial capitalization of costs is based on management’s judgement that technological and economic feasibility is confirmed, usually when a product development project has reached a defined milestone according to an established project management model. See Note 7.2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 Valuation of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Estimating fair value for share-based payment transactions requires determination of the most appropriate valuation model, which depends on the terms and conditions of the grant. This estimate also requires determination of the most appropriate inputs to the valuation model including the risk-free rate, volatility and expected life of the share option or appreciation right, and making assumptions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cash-settled share-based payment transactions using a Monte Carlo model to determine the fair value of the liability incurred. The associated cash-settled plan liability needs to be remeasured at the end of each reporting period up to the date of settlement, with any changes in fair value recognized in profit or loss. This requires a reassessment of the estimates used at the end of each reporting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measurement of the fair value of equity-settled transactions with employees at the grant date, the Group uses a Monte Carlo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and models used for estimating fair value for share-based payment transactions are disclosed in Note 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 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required to apply judgement when assessing how customer contracts give rise to enforceable rights and obligations and in determining the appropriate accounting treatment under IFRS 15. The most significant judgments applied by management in applying IFRS 15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identification of performance obligations in customer contracts,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assessment of the timing of revenue recognition (at a point in time versus over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of standalone selling prices (“SSP”) for distinct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estimate refers to measuring progress for performance obligations satisfied over time, which may rely on input or output methods requiring assumptions regarding total contract costs, expected hours or milestones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have been prepared on a going concern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the appropriateness of the going concern assumption, management considered the Group’s financial position, expected operating performance and liquidity, including cash flow forecasts covering a period of at least twelve months from the reporting date, i.e. through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forecasts take into account the Group’s expected cash burn, committed financing arrangements in place as of December 31, 2025, and management’s ability to manage operating and investment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this assessment, management concluded that the Group has sufficient liquidity to meet its obligations as they fall due over the assessment period and that the going concern basis of accounting remains appropriate as of December 31, 2025. See Note 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consolidated financial statements are presented in euros, which is also the parent company’s functional currency. Amounts are rounded to the nearest € thousand, unless otherwise stated.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are converted by applying the average exchange rates prevailing at the transaction date. Monetary assets and liabilities denominated in foreign currencies at the closing date are converted at the closing exchange rate. Translation adjustments are recognized in net income. Non-monetary assets and liabilities denominated in a foreign currency and recorded at historical cost are translated using the exchange rate at the date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gains and losses arising on the translation of net investments in foreign subsidiaries and associates are recognized 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currency translation rates against the Euro for the Group’s most significant operations.</w:t>
      </w:r>
    </w:p>
    <w:tbl>
      <w:tblPr>
        <w:tblW w:w="9109" w:type="dxa"/>
        <w:jc w:val="left"/>
        <w:tblInd w:w="0" w:type="dxa"/>
        <w:tblLayout w:type="fixed"/>
        <w:tblCellMar>
          <w:top w:w="0" w:type="dxa"/>
          <w:left w:w="0" w:type="dxa"/>
          <w:bottom w:w="0" w:type="dxa"/>
          <w:right w:w="0" w:type="dxa"/>
        </w:tblCellMar>
      </w:tblPr>
      <w:tblGrid>
        <w:gridCol w:w="2716"/>
        <w:gridCol w:w="146"/>
        <w:gridCol w:w="1486"/>
        <w:gridCol w:w="146"/>
        <w:gridCol w:w="1396"/>
        <w:gridCol w:w="146"/>
        <w:gridCol w:w="1486"/>
        <w:gridCol w:w="146"/>
        <w:gridCol w:w="1441"/>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3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Currency</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Pound Sterling (GBP)</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0.8571</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0.8725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0.8466</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0.8292</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 Dollar (USD)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Canadian Dollar (CAD)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1.5790</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Korean WON (KRW)</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1,606.2193</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1,694.9440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1,475.2526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1,532.1444</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Riyal (SAR)</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4.0610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3.8900</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Japanese Yen (YEN)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169.1501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184.0899</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163.8176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163.0601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 Standards issued but not yet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and amended standards and interpretations that are issued, but not yet effective, up to the date of issuance of the Group’s financial statements are disclosed below. The Group intends to adopt these new and amended standards and interpretations, if applicable, when they become effective.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 IFRS 18 Presentation and Disclosure in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2024, the IASB issued IFRS 18, which replaces IAS 1 Presentation of Financial Statements. IFRS 18 introduces new requirements for presentation within the statement of profit or loss, as well as disclosure of newly defined management-defined performance measures, subtotals of income and expenses, and includes new requirements for aggregation and disaggregation of financial information based on the identified ‘roles’ of the primary financial statements and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narrow-scope amendments have been made to IAS 7 Statement of Cash Flows, which include changing the starting point for determining cash flows from operations under the indirect method, and removing the optionality around classification of cash flows from dividends and interest. In addition, there are consequential amendments to several other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and the amendments to the other standards, is effective for reporting periods beginning on or after 1 January 2027, but earlier application is permitted and must be disclosed. IFRS 18 will apply retrospectively.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intend to early adopt IFRS 18 and is currently working to identify all impacts the amendments will have on the primary financial statements and notes to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 Amendments to IFRS 9 and IFRS 7 — Amendments to the Classification and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the IASB issued Amendments to IFRS 9 and IFRS 7, Amendments to the Classification and Measurement of Financial Instruments (the Amendments). The Amendments clarify derecognition rules for financial liabilities, provide guidance for assessing ESG-linked contractual cash flows, refine the definition of ‘non-recourse features’ and the characteristics of contractually linked instruments, and introduce new disclosure requirements for contingent features and FVOCI equity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Amendments are effective for annual periods starting on or after 1 January 2026 with early adoption permitted for classification of financial assets and related disclosures only.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anticipate that the amendments will have a material effect on the Group’s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Liquidity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liquidity risk, i.e., the risk that it will be unable to meet its financial obligations relating to the continuation of its business, given the financing requirements for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Group’s net cash position as of December 31, 2025:</w:t>
      </w:r>
    </w:p>
    <w:tbl>
      <w:tblPr>
        <w:tblW w:w="8363" w:type="dxa"/>
        <w:jc w:val="left"/>
        <w:tblInd w:w="0" w:type="dxa"/>
        <w:tblLayout w:type="fixed"/>
        <w:tblCellMar>
          <w:top w:w="0" w:type="dxa"/>
          <w:left w:w="0" w:type="dxa"/>
          <w:bottom w:w="0" w:type="dxa"/>
          <w:right w:w="0" w:type="dxa"/>
        </w:tblCellMar>
      </w:tblPr>
      <w:tblGrid>
        <w:gridCol w:w="4756"/>
        <w:gridCol w:w="146"/>
        <w:gridCol w:w="1307"/>
        <w:gridCol w:w="328"/>
        <w:gridCol w:w="146"/>
        <w:gridCol w:w="1274"/>
        <w:gridCol w:w="406"/>
      </w:tblGrid>
      <w:tr>
        <w:trPr/>
        <w:tc>
          <w:tcPr>
            <w:tcW w:w="4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 – Cash equivalents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Cash(1)</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 (A)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ORA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Borrowings – current excluding ORA(2)</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(2,886</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2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 (C)</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(17,641</w:t>
            </w:r>
          </w:p>
        </w:tc>
        <w:tc>
          <w:tcPr>
            <w:tcW w:w="32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(13,082</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position (A) – (B) – (C)</w:t>
            </w:r>
          </w:p>
        </w:tc>
        <w:tc>
          <w:tcPr>
            <w:tcW w:w="146" w:type="dxa"/>
            <w:tcBorders/>
            <w:vAlign w:val="bottom"/>
          </w:tcPr>
          <w:p>
            <w:pPr>
              <w:pStyle w:val="TableContents"/>
              <w:bidi w:val="0"/>
              <w:spacing w:before="0" w:after="283"/>
              <w:jc w:val="left"/>
              <w:rPr/>
            </w:pPr>
            <w:r>
              <w:rPr/>
              <w:t> </w:t>
            </w:r>
          </w:p>
        </w:tc>
        <w:tc>
          <w:tcPr>
            <w:tcW w:w="13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53,235</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(11,448</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Cash includes amounts received under the Korean grant agreement and IFA loan, for €2,832 thousand and €4,737 thousand as of December 31, 2025, see note 8.4.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2025, current borrowings exclude the redeemable bonds (“ORA”) as they are redeemable in ordinary shares of the Company. Accordingly, their settlement is not expected to give rise to any cash outflow.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2025,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cash and cash equivalents of €73,762 thousand. The Group subsequently completed several capital increases between January 2026 and February 2026 through the issuance of new common shares (“Series C Shares”), generating total proceeds of €69,738 thousand (see Note 31.4 for further disclosures). In addition, in connection with the planned business combination and after December 31, 2025, the Group entered into a pre-PIPE financing arrangement with certain investors. This arrangement includes commitments to participate in a contemplated PIPE financing, representing a total of $200,000 thousand in potential convertible financing and associated warrants, subject to definitive agreements and completion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believes that its cash and cash equivalents as of December 31, 2025 and the proceeds it received from the Series C will be sufficient to meet its working capital and capital expenditure needs for the next twelve months from the reporting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above, management concluded that the going concern basis of accounting remains appropriate as of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a single operating segment which is the development and implementation of quantum computing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tables below present the breakdown of non-current assets by geographic area for the years ended December 31, 2025 and 2024, respectively:</w:t>
      </w:r>
    </w:p>
    <w:tbl>
      <w:tblPr>
        <w:tblW w:w="7564"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24,687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3,407</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65,247</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43,797</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21,424</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r>
    </w:tbl>
    <w:tbl>
      <w:tblPr>
        <w:tblW w:w="8641"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Rest of </w:t>
              <w:br/>
              <w:t>Europe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13,378</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62,993</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40,845</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22,092</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19.3 for further disclosure on revenue-related segment information.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Non-current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Goodwill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business combinations are accounted for by applying the purchase method. The cost of an acquisition is measured as the aggregate of the consideration transferred, which is measured at acquisition date fair value, and the amount of any non-controlling interests in the acquiree. Acquisition-related costs are expensed as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that it has acquired a business when the acquired set of activities and assets includes an input and a substantive process that together significantly contribute to the ability to create outputs. The acquired process is considered substantive if it is critical to the ability to continue producing outputs, and the inputs acquired include an organized workforce with the necessary skills, knowledge, or experience to perform that process or it significantly contributes to the ability to continue producing outputs and is considered unique or scarce or cannot be replaced without significant cost, effort, or delay in the ability to continue producing outputs.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acquires a business, it assesses the financial assets and liabilities assumed for appropriate classification and designation in accordance with the contractual terms, economic circumstances and pertinent conditions as of the acquisition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Measurement of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is initially measured at cost (being the excess of the aggregate of the consideration transferred and the amount recognized for non-controlling interests and any previous interest held over the net identifiable assets acquired and liabilities assumed).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initial recognition, goodwill is measured at cost less any accumulated impairment losses. For the purpose of impairment testing, goodwill acquired in a business combination is, from the acquisition date, allocated to each of the Group’s cash-generating units that are expected to benefit from the combination, irrespective of whether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or liabilities of the acquiree are assigned to those units. In the event of impairment, the loss is recognized in the income statement under operating loss in “Net impairment losses”. Where goodwill has been allocated to a cash-generating unit (CGU) and part of the operation within that unit is disposed of, the goodwill associated with the disposed operation is included in the carrying amount of the operation when determining the gain or loss on disposal. Goodwill disposed in these circumstances is measured based on the relative values of the disposed operation and the portion of the cash-generating unit retained.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 Goodwill is tested for impairment annually as of 31 December and when circumstances indicate that the carrying value may be impaired. Impairment is determined for goodwill by assessing the recoverable amount of each CGU to which the goodwill relates. When the recoverable amount of the CGU is less than its carrying amount, an impairment loss is recognized. Impairment losses relating to goodwill cannot be reversed in future periods.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carrying amount of goodwill for the years ended December 31, 2025 and 2024, are as follows:</w:t>
      </w:r>
    </w:p>
    <w:tbl>
      <w:tblPr>
        <w:tblW w:w="4934" w:type="dxa"/>
        <w:jc w:val="left"/>
        <w:tblInd w:w="0" w:type="dxa"/>
        <w:tblLayout w:type="fixed"/>
        <w:tblCellMar>
          <w:top w:w="0" w:type="dxa"/>
          <w:left w:w="0" w:type="dxa"/>
          <w:bottom w:w="0" w:type="dxa"/>
          <w:right w:w="0" w:type="dxa"/>
        </w:tblCellMar>
      </w:tblPr>
      <w:tblGrid>
        <w:gridCol w:w="3586"/>
        <w:gridCol w:w="146"/>
        <w:gridCol w:w="916"/>
        <w:gridCol w:w="286"/>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amounted to €19,676 thousand as of December 31, 2025 and to €20,033 thousand as of December 31, 2024, respectively. It relates to the acquisitions of Pasqal Netherlands B.V. (formerly Qu &amp; Co) in 2021, MCF in 2022, and Aeponyx in 2024. The related goodwill amounts to €14,775 thousand, €290 thousand and €4,611 thousand as of December 31, 2025, respectively. The goodwill on Aeponyx amounted to €4,968 thousand as of December 31, 2024; the decrease in 2025 reflects foreign currency translation adjustments of €(357)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2024, the Group acquired 100% of the voting shares of Aeponyx Entreprises Inc. (“Aeponyx”), an unlisted company based in Canada that specializes in the design of integrated photonic circuits (PICs) combined with MEMS (Micro-Electro-Mechanical Systems) technologies, with applications in telecommunications, data centers, advanced sensors, and quantum computing. The Group has acquired Aeponyx with a view to enhancing the scalability, stability, and performance of the optical systems used in Pasqal’s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Canadian investment regulations, the transaction was subject to a national security review conducted post-closing. This review did not create a suspensive condition that could be considered a substantive hurdle. The approval was obtained in March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has been accounted for using the acquisition method. The consideration transferred included fixed and contingent issuable shares measured at fair value at the acquisition date. The contingent consideration was classified as a financial liability in accordance with IAS 32 and is subsequently remeasured at fair value through profit or loss (refer to Notes 17, 18 and 33 for further disclosures). The consolidated financial statements as of December 31, 2024, include the results of Aeponyx for the five-month period from the acquisition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Aeponyx contributed €1,135 thousand to the loss before tax of the Group from the date of acquisition. Aeponyx did not generate any revenue during the period. If the combination had taken place at the beginning of the year, the net loss of the Group for the year ended December 31, 2024, would have been €50,531 thousand, taking into account the fair value remeasurement of the contingent consideration recognized over the full year (see Notes 17,18 and 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impairment testing purposes, goodwill acquired through business combinations is allocated to the following cash-generating units.</w:t>
      </w:r>
    </w:p>
    <w:tbl>
      <w:tblPr>
        <w:tblW w:w="10205" w:type="dxa"/>
        <w:jc w:val="left"/>
        <w:tblInd w:w="0" w:type="dxa"/>
        <w:tblLayout w:type="fixed"/>
        <w:tblCellMar>
          <w:top w:w="0" w:type="dxa"/>
          <w:left w:w="0" w:type="dxa"/>
          <w:bottom w:w="0" w:type="dxa"/>
          <w:right w:w="0" w:type="dxa"/>
        </w:tblCellMar>
      </w:tblPr>
      <w:tblGrid>
        <w:gridCol w:w="3038"/>
        <w:gridCol w:w="146"/>
        <w:gridCol w:w="1634"/>
        <w:gridCol w:w="146"/>
        <w:gridCol w:w="1634"/>
        <w:gridCol w:w="146"/>
        <w:gridCol w:w="1634"/>
        <w:gridCol w:w="146"/>
        <w:gridCol w:w="1681"/>
      </w:tblGrid>
      <w:tr>
        <w:trPr/>
        <w:tc>
          <w:tcPr>
            <w:tcW w:w="303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34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4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03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r>
      <w:tr>
        <w:trPr/>
        <w:tc>
          <w:tcPr>
            <w:tcW w:w="30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r>
      <w:tr>
        <w:trPr/>
        <w:tc>
          <w:tcPr>
            <w:tcW w:w="30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 with indefinite useful lives</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19,743</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(DCF) model. No impairment loss was recognized for the years ended December 31, 2025 and 2024, as the recoverable amount exceeded the carrying amount, based on the Company’s market value as implied by arm’s length equity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Other intangible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IAS 38 defines an intangible asset as an identifiable non-monetary asset without physical substance that is controlled by the entity. An asset is identifiable: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is separable (leased, sold, exchanged independently),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arises from a contractual or legal right, whether or not that right is separable.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asset is controlled if the entity has the power to derive future economic benefits from it and to restrict access to it by third parties.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an intangible asset has a finite useful life, it is depreciated. Assets with indefinite useful lives are not depreciated, but are subject to impairment testing. The indefinite nature is reviewed at each reporting date.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Group’s other intangible assets include software, patents and processes, and development costs.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depreciation period for software varies between 2 and 3 years. Patents and processes resulting from the acquisition of MCF, Qu&amp;Co, and Aeponyx, are depreciated over 6 years, 4 years and 10 years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costs on an individual project are recognized as an intangible asset when the Group can demonstrate: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technical feasibility of completing the intangible asset so that the asset will be available for use or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intention to complete and its ability and intention to use or sell the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the asset will generate future economic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resources to complete the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measure reliably the expenditure during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incurred for development costs relate to the improvement of products or technologies that will be used by one or more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development costs include employee expenses, external costs, and project-specific purchasing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initial recognition of the development costs as an asset, the asset is carried at cost less any accumulated amortization and accumulated impairment losses. Amortization of the asset begins when development is complete, and the asset is available for use. It is amortized over the period of expected future benefit. The amortization period for such projects is five years from the estimated date of commissioning. This amortization period is reviewed by management based on changes in products and/or technologies. During the period of development, the asset is tested for impairment annually.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1,882</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15,044</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14,396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22,467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left"/>
              <w:rPr/>
            </w:pPr>
            <w:r>
              <w:rPr/>
              <w:t> </w:t>
            </w:r>
          </w:p>
        </w:tc>
        <w:tc>
          <w:tcPr>
            <w:tcW w:w="3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(824</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(1,627</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Increase(2)</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(1,156</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(2,138</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(3,294</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2025</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3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(3,520</w:t>
            </w:r>
          </w:p>
        </w:tc>
        <w:tc>
          <w:tcPr>
            <w:tcW w:w="31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(5,016</w:t>
            </w:r>
          </w:p>
        </w:tc>
        <w:tc>
          <w:tcPr>
            <w:tcW w:w="29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12,906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14,883</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17,451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Changes in scope relate to the acquisition of Aeponyx in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Intangible assets related to Qu&amp;Co were impaired for an amount of €290 thousand as of December 31, 2024, following the closure on June 24, 2025. This was recorded under “Net impairment losses”. See Note 2.1.1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intangible assets under development in 2025 primarily reflects development expenditures incurred by Pasqal SAS and Aeponyx that meet the capitalization criteria. Non-capitalized research and development costs amounted to €8,171 thousand and €18,866 thousand for the years ended December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intangible assets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 Property, plant &amp; 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are recognized in the consolidated financial statements at their acquisition or production cost, or their fair value when acquired in a business combination, less accumulated depreciation and impairment losses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recognize property, plant and equipment at amortized historical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16, depreciation is calculated based on the estimated useful lives of the various categories of fixed assets. Where applicable, the total cost of a tangible asset is allocated among its various components, each of which is recognized separately. This is the case when the various components of an asset have different useful lives or provide benefits to the company at different rates, requiring the use of different depreciation rates and methods.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has been determined based on the rate of consumption of the expected economic benefits per asset item on the basis of acquisition cost, according to its probable use. Useful lives are reviewed annually and are adjusted if current expectations differ from previous estimates; these changes in accounting estimates are recognized prospectively.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using the straight-line method, based on the useful lives of each fixed asset component, as follows:</w:t>
      </w:r>
    </w:p>
    <w:tbl>
      <w:tblPr>
        <w:tblW w:w="9850" w:type="dxa"/>
        <w:jc w:val="left"/>
        <w:tblInd w:w="0" w:type="dxa"/>
        <w:tblLayout w:type="fixed"/>
        <w:tblCellMar>
          <w:top w:w="0" w:type="dxa"/>
          <w:left w:w="0" w:type="dxa"/>
          <w:bottom w:w="0" w:type="dxa"/>
          <w:right w:w="0" w:type="dxa"/>
        </w:tblCellMar>
      </w:tblPr>
      <w:tblGrid>
        <w:gridCol w:w="6451"/>
        <w:gridCol w:w="146"/>
        <w:gridCol w:w="1531"/>
        <w:gridCol w:w="146"/>
        <w:gridCol w:w="1576"/>
      </w:tblGrid>
      <w:tr>
        <w:trPr/>
        <w:tc>
          <w:tcPr>
            <w:tcW w:w="6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Item type</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method</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duration</w:t>
            </w:r>
          </w:p>
        </w:tc>
      </w:tr>
      <w:tr>
        <w:trPr/>
        <w:tc>
          <w:tcPr>
            <w:tcW w:w="6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installations, tools and equipment</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10 years</w:t>
            </w:r>
          </w:p>
        </w:tc>
      </w:tr>
      <w:tr>
        <w:trPr/>
        <w:tc>
          <w:tcPr>
            <w:tcW w:w="6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fixtures, transport equipment, office furniture, etc.</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to 10 years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1078" w:type="dxa"/>
        <w:jc w:val="left"/>
        <w:tblInd w:w="0" w:type="dxa"/>
        <w:tblLayout w:type="fixed"/>
        <w:tblCellMar>
          <w:top w:w="0" w:type="dxa"/>
          <w:left w:w="0" w:type="dxa"/>
          <w:bottom w:w="0" w:type="dxa"/>
          <w:right w:w="0" w:type="dxa"/>
        </w:tblCellMar>
      </w:tblPr>
      <w:tblGrid>
        <w:gridCol w:w="1466"/>
        <w:gridCol w:w="146"/>
        <w:gridCol w:w="916"/>
        <w:gridCol w:w="375"/>
        <w:gridCol w:w="146"/>
        <w:gridCol w:w="916"/>
        <w:gridCol w:w="361"/>
        <w:gridCol w:w="146"/>
        <w:gridCol w:w="728"/>
        <w:gridCol w:w="293"/>
        <w:gridCol w:w="146"/>
        <w:gridCol w:w="810"/>
        <w:gridCol w:w="481"/>
        <w:gridCol w:w="146"/>
        <w:gridCol w:w="995"/>
        <w:gridCol w:w="296"/>
        <w:gridCol w:w="146"/>
        <w:gridCol w:w="781"/>
        <w:gridCol w:w="436"/>
        <w:gridCol w:w="146"/>
        <w:gridCol w:w="91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5,734</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1,814</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3,049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3,932</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14,629</w:t>
            </w:r>
          </w:p>
        </w:tc>
        <w:tc>
          <w:tcPr>
            <w:tcW w:w="36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16,799</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37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(1,134</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(2,532</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(5,319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837" w:type="dxa"/>
        <w:jc w:val="left"/>
        <w:tblInd w:w="0" w:type="dxa"/>
        <w:tblLayout w:type="fixed"/>
        <w:tblCellMar>
          <w:top w:w="0" w:type="dxa"/>
          <w:left w:w="0" w:type="dxa"/>
          <w:bottom w:w="0" w:type="dxa"/>
          <w:right w:w="0" w:type="dxa"/>
        </w:tblCellMar>
      </w:tblPr>
      <w:tblGrid>
        <w:gridCol w:w="1466"/>
        <w:gridCol w:w="146"/>
        <w:gridCol w:w="995"/>
        <w:gridCol w:w="296"/>
        <w:gridCol w:w="146"/>
        <w:gridCol w:w="916"/>
        <w:gridCol w:w="241"/>
        <w:gridCol w:w="146"/>
        <w:gridCol w:w="728"/>
        <w:gridCol w:w="293"/>
        <w:gridCol w:w="146"/>
        <w:gridCol w:w="810"/>
        <w:gridCol w:w="481"/>
        <w:gridCol w:w="146"/>
        <w:gridCol w:w="995"/>
        <w:gridCol w:w="296"/>
        <w:gridCol w:w="146"/>
        <w:gridCol w:w="814"/>
        <w:gridCol w:w="252"/>
        <w:gridCol w:w="146"/>
        <w:gridCol w:w="94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(3,008</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(10,561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January 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4,600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2,534</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6,633</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1,638</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28,077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9,696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change in 2024 mainly relates to the refurbishment works of the Company’s head office (Phenix premises) in Palaiseau.</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The reclassification reflects the commissioning of a QPU, transferred from tangible assets in progress to Plant, equipment and machinery on July 01,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property, plant &amp; equipment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 Right-of-use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11 for further disclosures on the accounting policies related to leases.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5754"/>
        <w:gridCol w:w="146"/>
        <w:gridCol w:w="1101"/>
        <w:gridCol w:w="289"/>
        <w:gridCol w:w="146"/>
        <w:gridCol w:w="945"/>
        <w:gridCol w:w="474"/>
        <w:gridCol w:w="146"/>
        <w:gridCol w:w="916"/>
        <w:gridCol w:w="288"/>
      </w:tblGrid>
      <w:tr>
        <w:trPr/>
        <w:tc>
          <w:tcPr>
            <w:tcW w:w="57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real estate</w:t>
            </w:r>
          </w:p>
        </w:tc>
        <w:tc>
          <w:tcPr>
            <w:tcW w:w="146"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 xml:space="preserve">of transport </w:t>
              <w:br/>
              <w:t>equipment</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2,984</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12,542</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12,562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(885</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(890</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(1,979</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2,114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9,542</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Group’s right-of-use assets relate primarily to real estate located in France and Canada,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Phenix Palaiseau for €6,314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Office and production sites in Sherbrooke, Quebec, for €1,145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Gabriel Peri — Joinville le Pont for €977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 Other non-current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Classification and measurement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assets are classified, at initial recognition, as subsequently measured at amortized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financial assets at initial recognition depends on the financial asset’s contractual cash flow characteristics and the Group’s business model for managing them. 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initially measures its financial assets at their fair value plus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that do not contain a significant financing component or for which the Group has applied the practical expedient are measured at the 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at amortized cost are subsequently measured using the effective interest rate (EIR) method and are subject to impairment. Gains and losses are recognized in profit or loss when the asset is derecognized, modified or impaired.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an allowance for expected credit losses (ECLs) for financial assets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trade receivables, the Group applies a simplified approach in calculating ECLs. Therefore, the Group does not track changes in credit risk, but instead recognizes a loss allowance, where applicable on a case-by-case basis, based on lifetime ECLs at each reporting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058" w:type="dxa"/>
        <w:jc w:val="left"/>
        <w:tblInd w:w="0" w:type="dxa"/>
        <w:tblLayout w:type="fixed"/>
        <w:tblCellMar>
          <w:top w:w="0" w:type="dxa"/>
          <w:left w:w="0" w:type="dxa"/>
          <w:bottom w:w="0" w:type="dxa"/>
          <w:right w:w="0" w:type="dxa"/>
        </w:tblCellMar>
      </w:tblPr>
      <w:tblGrid>
        <w:gridCol w:w="5761"/>
        <w:gridCol w:w="146"/>
        <w:gridCol w:w="916"/>
        <w:gridCol w:w="241"/>
        <w:gridCol w:w="146"/>
        <w:gridCol w:w="1146"/>
        <w:gridCol w:w="354"/>
        <w:gridCol w:w="146"/>
        <w:gridCol w:w="916"/>
        <w:gridCol w:w="286"/>
      </w:tblGrid>
      <w:tr>
        <w:trPr/>
        <w:tc>
          <w:tcPr>
            <w:tcW w:w="5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Deposits</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Government </w:t>
              <w:br/>
              <w:t xml:space="preserve">grant </w:t>
              <w:br/>
              <w:t>receivables –</w:t>
              <w:br/>
              <w:t>non-current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reclassification of the current portion of government grant receivables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Changes in scope in 2025 mainly relate to the liquidation of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other non-current financial assets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Deposits for an amount of €8,421 thousand, of which term deposits amounting to €7,340 thousand as part of a First Demand Guarantee relating to the contract with the customer Saudi Arabian Oil Company. The deposit bears interest at a gross nominal rate of 4.86%. The first-demand bank guarantee of €2,314 thousand was recovered in 2025 following the cancellation of the Paris lease (see Note 12 for further disclosure).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non-current portion of government grants to be received for an amount of €1,198 thousand.</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 of raw materials and other supplies, purchased parts (lasers, etc.), semi-finished/semi-assembled products, and finished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and work in progress are valued at their cost or market price, whichever is lower.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of raw materials, other supplies, and purchased parts are valued at acquisition cost using the weighted average unit cost method (WAUC). This acquisition cost includes the purchase price and incidental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product inventories are valued at production cost. Financial expenses are not included in the valuation of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realizable value of inventories is lower than their cost, the necessary write-downs are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and net realizable value. Net realizable value is the estimated selling price in the ordinary course of business, less estimated costs of completion and the estimated costs necessary to make the sale.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1089"/>
        <w:gridCol w:w="277"/>
        <w:gridCol w:w="146"/>
        <w:gridCol w:w="916"/>
        <w:gridCol w:w="146"/>
        <w:gridCol w:w="916"/>
        <w:gridCol w:w="146"/>
        <w:gridCol w:w="1017"/>
        <w:gridCol w:w="349"/>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other supplies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 – goods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6,695</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w:t>
            </w:r>
          </w:p>
        </w:tc>
        <w:tc>
          <w:tcPr>
            <w:tcW w:w="27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w:t>
            </w:r>
          </w:p>
        </w:tc>
        <w:tc>
          <w:tcPr>
            <w:tcW w:w="146" w:type="dxa"/>
            <w:tcBorders/>
            <w:shd w:fill="CCEEFF" w:val="clear"/>
            <w:vAlign w:val="bottom"/>
          </w:tcPr>
          <w:p>
            <w:pPr>
              <w:pStyle w:val="TableContents"/>
              <w:bidi w:val="0"/>
              <w:spacing w:before="0" w:after="283"/>
              <w:jc w:val="left"/>
              <w:rPr/>
            </w:pPr>
            <w:r>
              <w:rPr/>
              <w:t> </w:t>
            </w:r>
          </w:p>
        </w:tc>
        <w:tc>
          <w:tcPr>
            <w:tcW w:w="10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(1,552</w:t>
            </w:r>
          </w:p>
        </w:tc>
        <w:tc>
          <w:tcPr>
            <w:tcW w:w="27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11,309</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14,773</w:t>
            </w:r>
          </w:p>
        </w:tc>
        <w:tc>
          <w:tcPr>
            <w:tcW w:w="146" w:type="dxa"/>
            <w:tcBorders/>
            <w:shd w:fill="CCEEFF" w:val="clear"/>
            <w:vAlign w:val="bottom"/>
          </w:tcPr>
          <w:p>
            <w:pPr>
              <w:pStyle w:val="TableContents"/>
              <w:bidi w:val="0"/>
              <w:spacing w:before="0" w:after="283"/>
              <w:jc w:val="left"/>
              <w:rPr/>
            </w:pPr>
            <w:r>
              <w:rPr/>
              <w:t> </w:t>
            </w:r>
          </w:p>
        </w:tc>
        <w:tc>
          <w:tcPr>
            <w:tcW w:w="10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w:t>
            </w:r>
          </w:p>
        </w:tc>
        <w:tc>
          <w:tcPr>
            <w:tcW w:w="3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14,538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inventories as of December 31, 2025, by geographic area is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France: €8,234 thousand (€10,958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Canada: €2,791 thousand (€3,580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 of the world: €284 thousand (nil in 2024).</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geographical breakdown corresponds to the Group’s production and storage areas.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contract with Québec Inc., a subsidiary of DistriQ, Pasqal recognized an impairment of work in progress amounting to €1,552 thousand as of December 31, 2025 and €235 thousand as of December 31, 2024. See Note 12 for further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impairment of inventory was recognized for the year ended December 31, 2025. Management believes that the impairment risk of the components in inventory is low, given the projected revenue for 2026 and the order backlog.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Trade receivables</w:t>
      </w:r>
    </w:p>
    <w:tbl>
      <w:tblPr>
        <w:tblW w:w="10205" w:type="dxa"/>
        <w:jc w:val="left"/>
        <w:tblInd w:w="0" w:type="dxa"/>
        <w:tblLayout w:type="fixed"/>
        <w:tblCellMar>
          <w:top w:w="0" w:type="dxa"/>
          <w:left w:w="0" w:type="dxa"/>
          <w:bottom w:w="0" w:type="dxa"/>
          <w:right w:w="0" w:type="dxa"/>
        </w:tblCellMar>
      </w:tblPr>
      <w:tblGrid>
        <w:gridCol w:w="3428"/>
        <w:gridCol w:w="146"/>
        <w:gridCol w:w="781"/>
        <w:gridCol w:w="146"/>
        <w:gridCol w:w="1366"/>
        <w:gridCol w:w="146"/>
        <w:gridCol w:w="781"/>
        <w:gridCol w:w="146"/>
        <w:gridCol w:w="781"/>
        <w:gridCol w:w="146"/>
        <w:gridCol w:w="1366"/>
        <w:gridCol w:w="146"/>
        <w:gridCol w:w="826"/>
      </w:tblGrid>
      <w:tr>
        <w:trPr/>
        <w:tc>
          <w:tcPr>
            <w:tcW w:w="34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2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3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r>
      <w:tr>
        <w:trPr/>
        <w:tc>
          <w:tcPr>
            <w:tcW w:w="3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expected credit losses is not significant and not recognized as of December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 Other current assets</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910"/>
        <w:gridCol w:w="456"/>
        <w:gridCol w:w="146"/>
        <w:gridCol w:w="916"/>
        <w:gridCol w:w="146"/>
        <w:gridCol w:w="916"/>
        <w:gridCol w:w="146"/>
        <w:gridCol w:w="1366"/>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 – current(1)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8,216</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receivables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13,338</w:t>
            </w:r>
          </w:p>
        </w:tc>
        <w:tc>
          <w:tcPr>
            <w:tcW w:w="146" w:type="dxa"/>
            <w:tcBorders/>
            <w:vAlign w:val="bottom"/>
          </w:tcPr>
          <w:p>
            <w:pPr>
              <w:pStyle w:val="TableContents"/>
              <w:bidi w:val="0"/>
              <w:spacing w:before="0" w:after="283"/>
              <w:jc w:val="left"/>
              <w:rPr/>
            </w:pPr>
            <w:r>
              <w:rPr/>
              <w:t> </w:t>
            </w:r>
          </w:p>
        </w:tc>
        <w:tc>
          <w:tcPr>
            <w:tcW w:w="91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4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13,302</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Government grant receivables — current include the French Research Tax Credit (“CIR”) for an amount of €5,202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overdue receivables are immaterial.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 Cash and cash equivalents</w:t>
      </w:r>
    </w:p>
    <w:tbl>
      <w:tblPr>
        <w:tblW w:w="6340" w:type="dxa"/>
        <w:jc w:val="left"/>
        <w:tblInd w:w="0" w:type="dxa"/>
        <w:tblLayout w:type="fixed"/>
        <w:tblCellMar>
          <w:top w:w="0" w:type="dxa"/>
          <w:left w:w="0" w:type="dxa"/>
          <w:bottom w:w="0" w:type="dxa"/>
          <w:right w:w="0" w:type="dxa"/>
        </w:tblCellMar>
      </w:tblPr>
      <w:tblGrid>
        <w:gridCol w:w="2731"/>
        <w:gridCol w:w="146"/>
        <w:gridCol w:w="1636"/>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at bank and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31 December 2025, cash and cash equivalents include amounts received by the Group in connection with the Korean grant agreement and the IFA loan for €2,832 thousand and €4,737 thousand respectively. Although these funds are contractually restricted to eligible expenditures and subject to reporting requirements, such restrictions do not affect the classification of the bank balance as cash and cash equivalents.</w:t>
      </w:r>
    </w:p>
    <w:tbl>
      <w:tblPr>
        <w:tblW w:w="9103" w:type="dxa"/>
        <w:jc w:val="left"/>
        <w:tblInd w:w="0" w:type="dxa"/>
        <w:tblLayout w:type="fixed"/>
        <w:tblCellMar>
          <w:top w:w="0" w:type="dxa"/>
          <w:left w:w="0" w:type="dxa"/>
          <w:bottom w:w="0" w:type="dxa"/>
          <w:right w:w="0" w:type="dxa"/>
        </w:tblCellMar>
      </w:tblPr>
      <w:tblGrid>
        <w:gridCol w:w="2731"/>
        <w:gridCol w:w="146"/>
        <w:gridCol w:w="916"/>
        <w:gridCol w:w="146"/>
        <w:gridCol w:w="766"/>
        <w:gridCol w:w="146"/>
        <w:gridCol w:w="781"/>
        <w:gridCol w:w="146"/>
        <w:gridCol w:w="781"/>
        <w:gridCol w:w="146"/>
        <w:gridCol w:w="571"/>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Euro</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CAD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KRW</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63,649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63,675</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5,531</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3,380</w:t>
            </w:r>
          </w:p>
        </w:tc>
        <w:tc>
          <w:tcPr>
            <w:tcW w:w="146" w:type="dxa"/>
            <w:tcBorders/>
            <w:shd w:fill="CCEEFF" w:val="clear"/>
            <w:vAlign w:val="bottom"/>
          </w:tcPr>
          <w:p>
            <w:pPr>
              <w:pStyle w:val="TableContents"/>
              <w:bidi w:val="0"/>
              <w:spacing w:before="0" w:after="283"/>
              <w:jc w:val="left"/>
              <w:rPr/>
            </w:pPr>
            <w:r>
              <w:rPr/>
              <w:t> </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Consolidated Shareholders’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Issued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 Description of issued share capital</w:t>
      </w:r>
    </w:p>
    <w:tbl>
      <w:tblPr>
        <w:tblW w:w="6250" w:type="dxa"/>
        <w:jc w:val="left"/>
        <w:tblInd w:w="0" w:type="dxa"/>
        <w:tblLayout w:type="fixed"/>
        <w:tblCellMar>
          <w:top w:w="0" w:type="dxa"/>
          <w:left w:w="0" w:type="dxa"/>
          <w:bottom w:w="0" w:type="dxa"/>
          <w:right w:w="0" w:type="dxa"/>
        </w:tblCellMar>
      </w:tblPr>
      <w:tblGrid>
        <w:gridCol w:w="2641"/>
        <w:gridCol w:w="146"/>
        <w:gridCol w:w="1636"/>
        <w:gridCol w:w="146"/>
        <w:gridCol w:w="1681"/>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shares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7,148,772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6,923,000</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 value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Paid-in capital in euros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Company’s share capital amounted to €715 thousand, divided into 7,148,772 common shares with a par value of €0.10 each. Share premiums amounted to €70,158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issued 225,741 Series C Shares through several capital increases resulting in a total increase of €31,500 thousand, of which €23 thousand in share capital and €31,477 thousand in share premium. Capital increase costs amounting to €681 thousand were recognized as a deduction from share premium. See Notes 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December 31, 2025, including the expected progression of the contemplated business combination, the fair value of the BSA Ratchet warrants was determined to be immaterial. Accordingly, the proceeds received from the Series C Financing were allocated entirely to the Series C Shares issued. See Note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2024, the share capital had been increased by €658 thousand following a 100-for-1 stock split and a corresponding division by 100 of the nominal value. On July 19, 2024, a total of 3,923,000 preferred shares had been converted into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rights attached to the different classes of shares are as follows: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Equal rights to normal dividend distributions with other ordinary shareholders;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Priority rights that breakdown by class of common shares as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Series A, B and 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Seed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 Capital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the Group’s capital management, capital includes issued capital, share premium and all other equity reserves attributable to the equity holders of the parent. In order to maintain or adjust the capital structure, the Group can repurchase its own shares, issue new shares, or issue securities giving access to its capital.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objective of the Group’s capital management is to continue as a going concern and maximize the shareholder value. Capital management focuses on maintaining adequate levels of equity relative to operational needs, strategic investments, and regulatory requirements.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 Distribution of dividends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distributed any dividend.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Accumulated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Group’s accumulated deficit amounted to €32,533 thousand. This balance reflects accumulated losses of €124,309 thousand, including €91,776 thousand relating to the accumulated deficit of Pasqal SAS as of December 31, 2024 that was offset during the year against share premium pursuant to the shareholders’ written consultation dated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consisted of allocating a portion of the Company’s share premium to absorb these losses, in order to preserve its eligibility for grants, subsidies and, more generally, public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offset corresponded to the balance approved by the shareholders and reflected in the statutory financial statements of Pasqal SAS.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 accounting perspective, the transaction represented a transfer between components of the shareholders’ equity and therefore had no impact on total shareholders’ equity, profit or loss, other comprehensive income, cash flows, share capital, or the number of shares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Other reserves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other reserves amounted to €49,584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the Group recognized within equity the fixed Exchangeable and Milestone Shares component of the contingent consideration related to Aeponyx acquisition for an amount of €14,839 thousand, following the contractual determination of the exchange ratio upon completion of the Serie C financing. Refer to Notes 17 and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9.4 for further disclosures of these plans.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23,300 treasury shares were cancelled during the 2024 financial year. See Note 2.2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minority shareholders.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 Warrants and options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BSPCEs (Founder Share Subscription Warrants) and options granted to corporate officers, employees and service providers are recognized as employee expenses at a value equal to the fair value of the instrument granted. BSPCE and options are equity-settled awards, resulting in the compensation expense being recognized against equity. The fair value of the expense, equal to the fair value of the financial instrument granted, is measured on the grant date. Share-based payment expense is adjusted at each reporting date to reflect the best available estimate of the number of equity instruments expected to be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 Founder Share Subscription Warrants (“BSPCE”)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 are French startup stock warrants that give employees the right to subscribe to shares at a predefined exercise price. Under the BSPCE plans, the Group may grant equity instruments to eligible employees. Several BSPCE plans were implemented between 2019 and 2025 as shown in the table below.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Vesting of BSPCEs granted up to 2024 was solely based on employees’ continued service with the Group. In 2025, the Group introduced new BSPCE plans under which vesting continues to be subject to service conditions and, for certain grants, is also contingent upon the achievement of specific non-market performance conditions. The fair value of the share options is measured at the grant date using a Monte-Carlo simulation model, taking into account the terms and conditions under which the options are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2025:</w:t>
      </w:r>
    </w:p>
    <w:tbl>
      <w:tblPr>
        <w:tblW w:w="12659" w:type="dxa"/>
        <w:jc w:val="left"/>
        <w:tblInd w:w="0" w:type="dxa"/>
        <w:tblLayout w:type="fixed"/>
        <w:tblCellMar>
          <w:top w:w="0" w:type="dxa"/>
          <w:left w:w="0" w:type="dxa"/>
          <w:bottom w:w="0" w:type="dxa"/>
          <w:right w:w="0" w:type="dxa"/>
        </w:tblCellMar>
      </w:tblPr>
      <w:tblGrid>
        <w:gridCol w:w="1256"/>
        <w:gridCol w:w="146"/>
        <w:gridCol w:w="1096"/>
        <w:gridCol w:w="146"/>
        <w:gridCol w:w="112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38,869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64,800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23,590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39,796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59,286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04_2025</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 DG</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142,845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144,075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71,961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66,499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11_2025</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05,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68,325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1,320,266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818,121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502,145</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107,169</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23,331</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1,189,766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2024:</w:t>
      </w:r>
    </w:p>
    <w:tbl>
      <w:tblPr>
        <w:tblW w:w="12479" w:type="dxa"/>
        <w:jc w:val="left"/>
        <w:tblInd w:w="0" w:type="dxa"/>
        <w:tblLayout w:type="fixed"/>
        <w:tblCellMar>
          <w:top w:w="0" w:type="dxa"/>
          <w:left w:w="0" w:type="dxa"/>
          <w:bottom w:w="0" w:type="dxa"/>
          <w:right w:w="0" w:type="dxa"/>
        </w:tblCellMar>
      </w:tblPr>
      <w:tblGrid>
        <w:gridCol w:w="1256"/>
        <w:gridCol w:w="146"/>
        <w:gridCol w:w="1096"/>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111,100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7,745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55,641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733,786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512,520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221,266</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64,800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645,686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BSPCE 04_2019, BSPCE 07_2019, BSPCE 04_2021, BSPCE 12_2021 were authorized by decision of the Shareholders’ Meeting held on April 26,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BSPCE 12_2023 were authorized by unanimous decision of the shareholders on December 22,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The number of BSPCEs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BSPCE 06_2024, BSPCE 10_2024 and BSPCE 04_2025 were authorized by unanimous decision of the shareholders on June 12, 2024, authorizing the Chairman to implement a plan to issue and allocate 250,000 Founder Share Subscription Warrants (BSPCEs) giving the right to acquire 250,000 common shares of the Company with the cancellation of the preferential subscription right in favor of the Company’s employees.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(5)      BSPCE 10_2025 DG were authorized by unanimous decision of the shareholders on October 29,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(6)      BSPCE 10_2025 were authorized by unanimous decision of the shareholders on October 13,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(7)      BSPCE 11_2025 were authorized by unanimous decision of the shareholders on October 29,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BSPCE plans as equity-settled plans.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Pasqal’s acquisition of Aeponyx Inc., options were granted to the former owners of Aeponyx as remuneration for future services rendered. Upon exercise of their options, each beneficiary may ultimately acquire Pasqal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options granted to key employees amounts to 10,385 options subject to service and non-market performance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options are classified as equity-settled plans. The table below shows the outstanding options as of December 31, 2025:</w:t>
      </w:r>
    </w:p>
    <w:tbl>
      <w:tblPr>
        <w:tblW w:w="10205" w:type="dxa"/>
        <w:jc w:val="left"/>
        <w:tblInd w:w="0" w:type="dxa"/>
        <w:tblLayout w:type="fixed"/>
        <w:tblCellMar>
          <w:top w:w="0" w:type="dxa"/>
          <w:left w:w="0" w:type="dxa"/>
          <w:bottom w:w="0" w:type="dxa"/>
          <w:right w:w="0" w:type="dxa"/>
        </w:tblCellMar>
      </w:tblPr>
      <w:tblGrid>
        <w:gridCol w:w="942"/>
        <w:gridCol w:w="146"/>
        <w:gridCol w:w="1255"/>
        <w:gridCol w:w="146"/>
        <w:gridCol w:w="1084"/>
        <w:gridCol w:w="146"/>
        <w:gridCol w:w="1169"/>
        <w:gridCol w:w="146"/>
        <w:gridCol w:w="1179"/>
        <w:gridCol w:w="146"/>
        <w:gridCol w:w="1426"/>
        <w:gridCol w:w="146"/>
        <w:gridCol w:w="286"/>
        <w:gridCol w:w="826"/>
        <w:gridCol w:w="146"/>
        <w:gridCol w:w="1016"/>
      </w:tblGrid>
      <w:tr>
        <w:trPr/>
        <w:tc>
          <w:tcPr>
            <w:tcW w:w="9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 xml:space="preserve">date by the </w:t>
              <w:br/>
              <w:t>Chairman</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granted</w:t>
            </w:r>
          </w:p>
        </w:tc>
        <w:tc>
          <w:tcPr>
            <w:tcW w:w="146" w:type="dxa"/>
            <w:tcBorders/>
            <w:vAlign w:val="bottom"/>
          </w:tcPr>
          <w:p>
            <w:pPr>
              <w:pStyle w:val="TableContents"/>
              <w:bidi w:val="0"/>
              <w:spacing w:before="0" w:after="283"/>
              <w:jc w:val="left"/>
              <w:rPr/>
            </w:pPr>
            <w:r>
              <w:rPr/>
              <w:t> </w:t>
            </w:r>
          </w:p>
        </w:tc>
        <w:tc>
          <w:tcPr>
            <w:tcW w:w="11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cancelled</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exercised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outstanding</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Exercise </w:t>
              <w:br/>
              <w:t>price</w:t>
            </w:r>
          </w:p>
        </w:tc>
        <w:tc>
          <w:tcPr>
            <w:tcW w:w="146" w:type="dxa"/>
            <w:tcBorders/>
            <w:vAlign w:val="bottom"/>
          </w:tcPr>
          <w:p>
            <w:pPr>
              <w:pStyle w:val="TableContents"/>
              <w:bidi w:val="0"/>
              <w:spacing w:before="0" w:after="283"/>
              <w:jc w:val="left"/>
              <w:rPr/>
            </w:pPr>
            <w:r>
              <w:rPr/>
              <w:t> </w:t>
            </w:r>
          </w:p>
        </w:tc>
        <w:tc>
          <w:tcPr>
            <w:tcW w:w="1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Period</w:t>
            </w:r>
          </w:p>
        </w:tc>
      </w:tr>
      <w:tr>
        <w:trPr/>
        <w:tc>
          <w:tcPr>
            <w:tcW w:w="9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2024</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2024</w:t>
            </w:r>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14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Financial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liabilities are recognized initially at fair value and, in the case of borrowings, net of directly attributable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initial recognition, borrowings are subsequently measured at amortized cost using the EIR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issued a convertible bond (OCA) in 2024 and bonds redeemable in shares (ORA) in 2025. The OCA is a hybrid financial instrument that presents the characteristics of a compound instrument as defined in IAS 32, i.e., a non-derivative financial instrument that contains both a debt component (related to the contractual cash redemption at maturity and the interest payable) and another component corresponding to the option to convert the instrument into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variable number of Pasqal shares and therefore does not give rise to an equity component. As a result, the Group classified the OCA entirely as a financial liability. The ORA are hybrid financial instruments that do not meet the fixed-for-fixed criterion under IAS 32 and therefore do not give rise to an equity component. The payment of interest on the ORA is not discretionary at the issuer’s option. As a result, the Group classified the ORA entirely as financial liabilities. Pasqal elected, at initial recognition, to designate these instruments in their entirety at fair value through profit or loss, with subsequent changes in fair value recognized in profit or loss. The instruments are presented under “Borrowings”.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maturing in more than 1 year are recognized as non-current liabilities, while those maturing in less than 1 year are current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liabilities related to leases and to the fair value of cash-settled transactions is disclosed respectively in Notes 11 and 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 Changes during the period in current and non-current borrowings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053"/>
        <w:gridCol w:w="146"/>
        <w:gridCol w:w="1001"/>
        <w:gridCol w:w="560"/>
        <w:gridCol w:w="146"/>
        <w:gridCol w:w="1175"/>
        <w:gridCol w:w="363"/>
        <w:gridCol w:w="146"/>
        <w:gridCol w:w="895"/>
        <w:gridCol w:w="506"/>
        <w:gridCol w:w="146"/>
        <w:gridCol w:w="781"/>
        <w:gridCol w:w="287"/>
      </w:tblGrid>
      <w:tr>
        <w:trPr/>
        <w:tc>
          <w:tcPr>
            <w:tcW w:w="4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non-current</w:t>
            </w:r>
          </w:p>
        </w:tc>
        <w:tc>
          <w:tcPr>
            <w:tcW w:w="146"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non-current</w:t>
            </w:r>
          </w:p>
        </w:tc>
        <w:tc>
          <w:tcPr>
            <w:tcW w:w="146"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non-current</w:t>
            </w:r>
          </w:p>
        </w:tc>
        <w:tc>
          <w:tcPr>
            <w:tcW w:w="146" w:type="dxa"/>
            <w:tcBorders/>
            <w:vAlign w:val="bottom"/>
          </w:tcPr>
          <w:p>
            <w:pPr>
              <w:pStyle w:val="TableContents"/>
              <w:bidi w:val="0"/>
              <w:spacing w:before="0" w:after="283"/>
              <w:jc w:val="left"/>
              <w:rPr/>
            </w:pPr>
            <w:r>
              <w:rPr/>
              <w:t> </w:t>
            </w:r>
          </w:p>
        </w:tc>
        <w:tc>
          <w:tcPr>
            <w:tcW w:w="10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January 1, 2024</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2,677</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3,370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6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w:t>
            </w:r>
          </w:p>
        </w:tc>
        <w:tc>
          <w:tcPr>
            <w:tcW w:w="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2024</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5,061</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686</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2,106</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w:t>
            </w:r>
          </w:p>
        </w:tc>
        <w:tc>
          <w:tcPr>
            <w:tcW w:w="5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(3,476</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2025</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4,510</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subscription of IFA loan for a principal amount of €5,143 thousand (USD 6,000 thousand) and an additional drawdown of €676 thousand (CAD 1,068 thousand) on Investissement Québec loan.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reclassification of the grant component of the IFA and Investissement Québec loans. See Note 10.2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(3)      Corresponds to the current portion reclassification, mainly on Aeponyx’s promissory note (BDC loan) for €2,090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of €2,578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borrowings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Bpifrance S.A. loans for an outstanding amount of €1,810 thousand (€2,323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Canadian Investissement Québec loan including capitalized interests for €2,580 thousand (€2,160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IFA loan for an outstanding amount €1,930 thousand (none in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15 for further disclosure.</w:t>
      </w:r>
    </w:p>
    <w:tbl>
      <w:tblPr>
        <w:tblW w:w="12292" w:type="dxa"/>
        <w:jc w:val="left"/>
        <w:tblInd w:w="0" w:type="dxa"/>
        <w:tblLayout w:type="fixed"/>
        <w:tblCellMar>
          <w:top w:w="0" w:type="dxa"/>
          <w:left w:w="0" w:type="dxa"/>
          <w:bottom w:w="0" w:type="dxa"/>
          <w:right w:w="0" w:type="dxa"/>
        </w:tblCellMar>
      </w:tblPr>
      <w:tblGrid>
        <w:gridCol w:w="2201"/>
        <w:gridCol w:w="146"/>
        <w:gridCol w:w="1051"/>
        <w:gridCol w:w="241"/>
        <w:gridCol w:w="146"/>
        <w:gridCol w:w="1192"/>
        <w:gridCol w:w="369"/>
        <w:gridCol w:w="146"/>
        <w:gridCol w:w="771"/>
        <w:gridCol w:w="310"/>
        <w:gridCol w:w="146"/>
        <w:gridCol w:w="728"/>
        <w:gridCol w:w="308"/>
        <w:gridCol w:w="146"/>
        <w:gridCol w:w="850"/>
        <w:gridCol w:w="471"/>
        <w:gridCol w:w="146"/>
        <w:gridCol w:w="960"/>
        <w:gridCol w:w="481"/>
        <w:gridCol w:w="146"/>
        <w:gridCol w:w="1051"/>
        <w:gridCol w:w="286"/>
      </w:tblGrid>
      <w:tr>
        <w:trPr/>
        <w:tc>
          <w:tcPr>
            <w:tcW w:w="22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Bond </w:t>
              <w:br/>
              <w:t>issues –</w:t>
              <w:br/>
              <w:t>current</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current</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Accrued </w:t>
              <w:br/>
              <w:t xml:space="preserve">interests </w:t>
              <w:br/>
              <w:t>on loans</w:t>
            </w:r>
          </w:p>
        </w:tc>
        <w:tc>
          <w:tcPr>
            <w:tcW w:w="146"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current</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Current </w:t>
              <w:br/>
              <w:t xml:space="preserve">bank </w:t>
              <w:br/>
              <w:t xml:space="preserve">borrowings </w:t>
              <w:br/>
              <w:t xml:space="preserve">and </w:t>
              <w:br/>
              <w:t>overdrafts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current</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January 1, 2024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2,711</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borrowings as of December 31, 2025 and 2024 mainly include the bonds redeemable in shares and the CMA CGM convertible bond,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issued in July 2024 a convertible bond to the CMA CGM Group in the amount of €5,000 thousand. The interest rate was 5% and the maturity date was December 31, 2025. The fair value of the convertible bond was determined using an actuarial methodology, relying on the discounting of future cash flows. Principal assumptions used in determining the fair value were as follows: risk-free rate based on the 6-month Euribor, a recovery rate of 10% in the event of default, a credit spread of 2,050 basis points and an underlying share price derived from the most recent observable transaction, being the latest financing round as of the valuation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the convertible bond was then recorded for €4,816 thousand on the balance sheet with the corresponding change in fair value recognized in change in fair value of financial liabilities at FVPL for €184 thousand. On October 15, 2025, following CMA CGM’s request for early redemption, the OCA was derecognized and settled through the issuance of ORA for an amount of €5,312 thousand, corresponding to the nominal amount plus accrued interest. Prior to derecognition, the instrument was remeasured at fair value in accordance with IFRS 9. The resulting impact was recognized in profit or loss for €306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Between April and December 2025, the Group issued ORA for a total amount of €68,295 thousand. The ORA carry an annual coupon of 12%, mature on June 30, 2026 and are redeemable in shares, with the number of shares to be issued varying according to the contractually defined conversion terms and the applicable share price at redemption.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instruments are designated in full at fair value through profit or loss. Their fair value was determined using a valuation model based on discounted expected cash flows, taking into account the different conversion and redemption scenarios over the contractual term. Key valuation assumptions included a 10% recovery rate, a volatility of 40%, a credit spread of 1,917 basis points and an underlying share price derived from the most recent observable transaction, being the latest financing round as of the valuation date. As of December 31, 2025, the ORA were remeasured at €102,278 thousand on the balance sheet, reflecting the overall remeasurement of the instrument based on updated valuation inputs, including the underlying share price at the time of the Series C, as well as the other key assumptions described above. The corresponding change in fair value was recognized in profit or loss under “Change in fair value of financial liabilities at FVPL” for €34,478 thousand.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ORA are classified within Level 3 of the fair value hierarchy. The valuation is based on a multi-scenario approach reflecting the various possible contractual redemption events (Qualified Equity Financing, IPO, maturity, Non-Qualified Equity Financing and Exit), each weighted by its probability of occurrence as estimated by management. Actual outcomes may differ from estimate.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Breakdown of borrowings and other loans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bl>
      <w:tblPr>
        <w:tblW w:w="10205" w:type="dxa"/>
        <w:jc w:val="left"/>
        <w:tblInd w:w="0" w:type="dxa"/>
        <w:tblLayout w:type="fixed"/>
        <w:tblCellMar>
          <w:top w:w="0" w:type="dxa"/>
          <w:left w:w="0" w:type="dxa"/>
          <w:bottom w:w="0" w:type="dxa"/>
          <w:right w:w="0" w:type="dxa"/>
        </w:tblCellMar>
      </w:tblPr>
      <w:tblGrid>
        <w:gridCol w:w="4524"/>
        <w:gridCol w:w="146"/>
        <w:gridCol w:w="1611"/>
        <w:gridCol w:w="146"/>
        <w:gridCol w:w="1051"/>
        <w:gridCol w:w="146"/>
        <w:gridCol w:w="1458"/>
        <w:gridCol w:w="146"/>
        <w:gridCol w:w="977"/>
      </w:tblGrid>
      <w:tr>
        <w:trPr/>
        <w:tc>
          <w:tcPr>
            <w:tcW w:w="45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4,465</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3,175</w:t>
            </w:r>
          </w:p>
        </w:tc>
      </w:tr>
      <w:tr>
        <w:trPr/>
        <w:tc>
          <w:tcPr>
            <w:tcW w:w="45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bl>
      <w:tblPr>
        <w:tblW w:w="10205" w:type="dxa"/>
        <w:jc w:val="left"/>
        <w:tblInd w:w="0" w:type="dxa"/>
        <w:tblLayout w:type="fixed"/>
        <w:tblCellMar>
          <w:top w:w="0" w:type="dxa"/>
          <w:left w:w="0" w:type="dxa"/>
          <w:bottom w:w="0" w:type="dxa"/>
          <w:right w:w="0" w:type="dxa"/>
        </w:tblCellMar>
      </w:tblPr>
      <w:tblGrid>
        <w:gridCol w:w="4674"/>
        <w:gridCol w:w="146"/>
        <w:gridCol w:w="1614"/>
        <w:gridCol w:w="146"/>
        <w:gridCol w:w="864"/>
        <w:gridCol w:w="146"/>
        <w:gridCol w:w="1491"/>
        <w:gridCol w:w="146"/>
        <w:gridCol w:w="978"/>
      </w:tblGrid>
      <w:tr>
        <w:trPr/>
        <w:tc>
          <w:tcPr>
            <w:tcW w:w="46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1,602</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146" w:type="dxa"/>
            <w:tcBorders/>
            <w:vAlign w:val="bottom"/>
          </w:tcPr>
          <w:p>
            <w:pPr>
              <w:pStyle w:val="TableContents"/>
              <w:bidi w:val="0"/>
              <w:spacing w:before="0" w:after="283"/>
              <w:jc w:val="left"/>
              <w:rPr/>
            </w:pPr>
            <w:r>
              <w:rPr/>
              <w:t> </w:t>
            </w:r>
          </w:p>
        </w:tc>
        <w:tc>
          <w:tcPr>
            <w:tcW w:w="8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6,251</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571"/>
        <w:gridCol w:w="146"/>
        <w:gridCol w:w="1616"/>
        <w:gridCol w:w="146"/>
        <w:gridCol w:w="934"/>
        <w:gridCol w:w="146"/>
        <w:gridCol w:w="1522"/>
        <w:gridCol w:w="146"/>
        <w:gridCol w:w="978"/>
      </w:tblGrid>
      <w:tr>
        <w:trPr/>
        <w:tc>
          <w:tcPr>
            <w:tcW w:w="4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9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15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 Breakdown of borrowings and other loans by maturity (undiscounted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10205" w:type="dxa"/>
        <w:jc w:val="left"/>
        <w:tblInd w:w="0" w:type="dxa"/>
        <w:tblLayout w:type="fixed"/>
        <w:tblCellMar>
          <w:top w:w="0" w:type="dxa"/>
          <w:left w:w="0" w:type="dxa"/>
          <w:bottom w:w="0" w:type="dxa"/>
          <w:right w:w="0" w:type="dxa"/>
        </w:tblCellMar>
      </w:tblPr>
      <w:tblGrid>
        <w:gridCol w:w="4625"/>
        <w:gridCol w:w="146"/>
        <w:gridCol w:w="1610"/>
        <w:gridCol w:w="146"/>
        <w:gridCol w:w="967"/>
        <w:gridCol w:w="146"/>
        <w:gridCol w:w="1442"/>
        <w:gridCol w:w="146"/>
        <w:gridCol w:w="977"/>
      </w:tblGrid>
      <w:tr>
        <w:trPr/>
        <w:tc>
          <w:tcPr>
            <w:tcW w:w="46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non-current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8,447</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3,521</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4,926</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11,968</w:t>
            </w:r>
          </w:p>
        </w:tc>
        <w:tc>
          <w:tcPr>
            <w:tcW w:w="146" w:type="dxa"/>
            <w:tcBorders/>
            <w:vAlign w:val="bottom"/>
          </w:tcPr>
          <w:p>
            <w:pPr>
              <w:pStyle w:val="TableContents"/>
              <w:bidi w:val="0"/>
              <w:spacing w:before="0" w:after="283"/>
              <w:jc w:val="left"/>
              <w:rPr/>
            </w:pPr>
            <w:r>
              <w:rPr/>
              <w:t> </w:t>
            </w:r>
          </w:p>
        </w:tc>
        <w:tc>
          <w:tcPr>
            <w:tcW w:w="9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7,042</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4,926</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9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14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10205" w:type="dxa"/>
        <w:jc w:val="left"/>
        <w:tblInd w:w="0" w:type="dxa"/>
        <w:tblLayout w:type="fixed"/>
        <w:tblCellMar>
          <w:top w:w="0" w:type="dxa"/>
          <w:left w:w="0" w:type="dxa"/>
          <w:bottom w:w="0" w:type="dxa"/>
          <w:right w:w="0" w:type="dxa"/>
        </w:tblCellMar>
      </w:tblPr>
      <w:tblGrid>
        <w:gridCol w:w="4629"/>
        <w:gridCol w:w="146"/>
        <w:gridCol w:w="1613"/>
        <w:gridCol w:w="146"/>
        <w:gridCol w:w="921"/>
        <w:gridCol w:w="146"/>
        <w:gridCol w:w="1481"/>
        <w:gridCol w:w="146"/>
        <w:gridCol w:w="977"/>
      </w:tblGrid>
      <w:tr>
        <w:trPr/>
        <w:tc>
          <w:tcPr>
            <w:tcW w:w="46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2,858</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9,630</w:t>
            </w:r>
          </w:p>
        </w:tc>
        <w:tc>
          <w:tcPr>
            <w:tcW w:w="146" w:type="dxa"/>
            <w:tcBorders/>
            <w:vAlign w:val="bottom"/>
          </w:tcPr>
          <w:p>
            <w:pPr>
              <w:pStyle w:val="TableContents"/>
              <w:bidi w:val="0"/>
              <w:spacing w:before="0" w:after="283"/>
              <w:jc w:val="left"/>
              <w:rPr/>
            </w:pPr>
            <w:r>
              <w:rPr/>
              <w:t> </w:t>
            </w:r>
          </w:p>
        </w:tc>
        <w:tc>
          <w:tcPr>
            <w:tcW w:w="9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7,807</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1,822</w:t>
            </w:r>
          </w:p>
        </w:tc>
      </w:tr>
      <w:tr>
        <w:trPr/>
        <w:tc>
          <w:tcPr>
            <w:tcW w:w="46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9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14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 Breakdown of current and non-current financial liabilities by type of interest rate</w:t>
      </w:r>
    </w:p>
    <w:tbl>
      <w:tblPr>
        <w:tblW w:w="5948" w:type="dxa"/>
        <w:jc w:val="left"/>
        <w:tblInd w:w="0" w:type="dxa"/>
        <w:tblLayout w:type="fixed"/>
        <w:tblCellMar>
          <w:top w:w="0" w:type="dxa"/>
          <w:left w:w="0" w:type="dxa"/>
          <w:bottom w:w="0" w:type="dxa"/>
          <w:right w:w="0" w:type="dxa"/>
        </w:tblCellMar>
      </w:tblPr>
      <w:tblGrid>
        <w:gridCol w:w="2341"/>
        <w:gridCol w:w="146"/>
        <w:gridCol w:w="986"/>
        <w:gridCol w:w="649"/>
        <w:gridCol w:w="146"/>
        <w:gridCol w:w="855"/>
        <w:gridCol w:w="825"/>
      </w:tblGrid>
      <w:tr>
        <w:trPr/>
        <w:tc>
          <w:tcPr>
            <w:tcW w:w="2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As a percentage</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rate liabilities</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6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8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rate liabilities</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8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 Maturities of main financial liabilities at amortized cost</w:t>
      </w:r>
    </w:p>
    <w:tbl>
      <w:tblPr>
        <w:tblW w:w="10205" w:type="dxa"/>
        <w:jc w:val="left"/>
        <w:tblInd w:w="0" w:type="dxa"/>
        <w:tblLayout w:type="fixed"/>
        <w:tblCellMar>
          <w:top w:w="0" w:type="dxa"/>
          <w:left w:w="0" w:type="dxa"/>
          <w:bottom w:w="0" w:type="dxa"/>
          <w:right w:w="0" w:type="dxa"/>
        </w:tblCellMar>
      </w:tblPr>
      <w:tblGrid>
        <w:gridCol w:w="3262"/>
        <w:gridCol w:w="146"/>
        <w:gridCol w:w="2006"/>
        <w:gridCol w:w="146"/>
        <w:gridCol w:w="2006"/>
        <w:gridCol w:w="146"/>
        <w:gridCol w:w="1006"/>
        <w:gridCol w:w="146"/>
        <w:gridCol w:w="880"/>
        <w:gridCol w:w="461"/>
      </w:tblGrid>
      <w:tr>
        <w:trPr/>
        <w:tc>
          <w:tcPr>
            <w:tcW w:w="32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Starting date</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 date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Nominal</w:t>
            </w:r>
          </w:p>
        </w:tc>
        <w:tc>
          <w:tcPr>
            <w:tcW w:w="146" w:type="dxa"/>
            <w:tcBorders/>
            <w:vAlign w:val="bottom"/>
          </w:tcPr>
          <w:p>
            <w:pPr>
              <w:pStyle w:val="TableContents"/>
              <w:bidi w:val="0"/>
              <w:spacing w:before="0" w:after="283"/>
              <w:jc w:val="left"/>
              <w:rPr/>
            </w:pPr>
            <w:r>
              <w:rPr/>
              <w:t> </w:t>
            </w:r>
          </w:p>
        </w:tc>
        <w:tc>
          <w:tcPr>
            <w:tcW w:w="13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Annual rate</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 Innovation R&amp;D</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2021</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0.71</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2021</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3.57</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2024</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3,289</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18, 2024</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1,863</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Illinois Finance Authority</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2025</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3.55</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not subject to financial covenants that could affect the terms, repayment schedule, or continuity of the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secured by collateral are presented in Note 29.1.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lease liabilities by maturity is given in Note 11.2.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 Breakdown of current and non-current financial liabilities by currency</w:t>
      </w:r>
    </w:p>
    <w:tbl>
      <w:tblPr>
        <w:tblW w:w="10205" w:type="dxa"/>
        <w:jc w:val="left"/>
        <w:tblInd w:w="0" w:type="dxa"/>
        <w:tblLayout w:type="fixed"/>
        <w:tblCellMar>
          <w:top w:w="0" w:type="dxa"/>
          <w:left w:w="0" w:type="dxa"/>
          <w:bottom w:w="0" w:type="dxa"/>
          <w:right w:w="0" w:type="dxa"/>
        </w:tblCellMar>
      </w:tblPr>
      <w:tblGrid>
        <w:gridCol w:w="5912"/>
        <w:gridCol w:w="146"/>
        <w:gridCol w:w="1051"/>
        <w:gridCol w:w="146"/>
        <w:gridCol w:w="781"/>
        <w:gridCol w:w="146"/>
        <w:gridCol w:w="781"/>
        <w:gridCol w:w="146"/>
        <w:gridCol w:w="1096"/>
      </w:tblGrid>
      <w:tr>
        <w:trPr/>
        <w:tc>
          <w:tcPr>
            <w:tcW w:w="59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r>
      <w:tr>
        <w:trPr/>
        <w:tc>
          <w:tcPr>
            <w:tcW w:w="59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102,868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2025</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1,973</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112,804</w:t>
            </w:r>
          </w:p>
        </w:tc>
      </w:tr>
    </w:tbl>
    <w:tbl>
      <w:tblPr>
        <w:tblW w:w="9934" w:type="dxa"/>
        <w:jc w:val="left"/>
        <w:tblInd w:w="0" w:type="dxa"/>
        <w:tblLayout w:type="fixed"/>
        <w:tblCellMar>
          <w:top w:w="0" w:type="dxa"/>
          <w:left w:w="0" w:type="dxa"/>
          <w:bottom w:w="0" w:type="dxa"/>
          <w:right w:w="0" w:type="dxa"/>
        </w:tblCellMar>
      </w:tblPr>
      <w:tblGrid>
        <w:gridCol w:w="6226"/>
        <w:gridCol w:w="146"/>
        <w:gridCol w:w="781"/>
        <w:gridCol w:w="146"/>
        <w:gridCol w:w="781"/>
        <w:gridCol w:w="146"/>
        <w:gridCol w:w="601"/>
        <w:gridCol w:w="146"/>
        <w:gridCol w:w="961"/>
      </w:tblGrid>
      <w:tr>
        <w:trPr/>
        <w:tc>
          <w:tcPr>
            <w:tcW w:w="6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2024</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8,692</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4,690</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Lease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liability is initially measured at the present value of the lease payments to be made over the lease term. This amount is estimated in each currency based on available market data and takes into account the expected lease term. Lease payments may include fixed or variable payments that depend on a rate or index known at the beginning of the contract. The term used to calculate the lease liability generally corresponds to the fixed term of the contract, unless there is reasonable certainty that the contract will be renewed or terminated. Management reviews the terms at each reporting date. The discount rate used is the lessee’s marginal borrowing rate. Lease liability is measured at amortized cost using the effective interest rate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lessee thus records: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non-current asset representing the right to use the leased asset in the assets section of the consolidated statement of financial position (See Note 7.4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financial liability representing the obligation to pay this right in the liabilities section of the consolidated statement of financial position;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Depreciation charges for rights of use and interest expense on lease liabilities in the consolidated income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simplifications introduced by the standard and adopted by the Group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exclusion of short-term 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the exclusion of leases relating to low-value assets, i.e. assets with a value under €5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 from contracts excluded from the scope of IFRS 16, as well as variable payments not taken into account in the initial measurement of the liability, are recognized as operating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Changes in lease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8693" w:type="dxa"/>
        <w:jc w:val="left"/>
        <w:tblInd w:w="0" w:type="dxa"/>
        <w:tblLayout w:type="fixed"/>
        <w:tblCellMar>
          <w:top w:w="0" w:type="dxa"/>
          <w:left w:w="0" w:type="dxa"/>
          <w:bottom w:w="0" w:type="dxa"/>
          <w:right w:w="0" w:type="dxa"/>
        </w:tblCellMar>
      </w:tblPr>
      <w:tblGrid>
        <w:gridCol w:w="4351"/>
        <w:gridCol w:w="146"/>
        <w:gridCol w:w="1105"/>
        <w:gridCol w:w="291"/>
        <w:gridCol w:w="146"/>
        <w:gridCol w:w="998"/>
        <w:gridCol w:w="308"/>
        <w:gridCol w:w="146"/>
        <w:gridCol w:w="916"/>
        <w:gridCol w:w="286"/>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non-current</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January 1, 2024</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1,553</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2024</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10,190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835</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2025</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9,627</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Relates to lease contracts termination.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Breakdown of lease liabilities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4,899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836</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Lease expenses</w:t>
      </w:r>
    </w:p>
    <w:tbl>
      <w:tblPr>
        <w:tblW w:w="10205" w:type="dxa"/>
        <w:jc w:val="left"/>
        <w:tblInd w:w="0" w:type="dxa"/>
        <w:tblLayout w:type="fixed"/>
        <w:tblCellMar>
          <w:top w:w="0" w:type="dxa"/>
          <w:left w:w="0" w:type="dxa"/>
          <w:bottom w:w="0" w:type="dxa"/>
          <w:right w:w="0" w:type="dxa"/>
        </w:tblCellMar>
      </w:tblPr>
      <w:tblGrid>
        <w:gridCol w:w="6610"/>
        <w:gridCol w:w="146"/>
        <w:gridCol w:w="1255"/>
        <w:gridCol w:w="373"/>
        <w:gridCol w:w="146"/>
        <w:gridCol w:w="1237"/>
        <w:gridCol w:w="438"/>
      </w:tblGrid>
      <w:tr>
        <w:trPr/>
        <w:tc>
          <w:tcPr>
            <w:tcW w:w="66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of right-of-use assets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4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amount recognized in profit or loss</w:t>
            </w:r>
          </w:p>
        </w:tc>
        <w:tc>
          <w:tcPr>
            <w:tcW w:w="146" w:type="dxa"/>
            <w:tcBorders/>
            <w:shd w:fill="CCEEFF" w:val="clear"/>
            <w:vAlign w:val="bottom"/>
          </w:tcPr>
          <w:p>
            <w:pPr>
              <w:pStyle w:val="TableContents"/>
              <w:bidi w:val="0"/>
              <w:spacing w:before="0" w:after="283"/>
              <w:jc w:val="left"/>
              <w:rPr/>
            </w:pPr>
            <w:r>
              <w:rPr/>
              <w:t> </w:t>
            </w:r>
          </w:p>
        </w:tc>
        <w:tc>
          <w:tcPr>
            <w:tcW w:w="12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(2,125</w:t>
            </w:r>
          </w:p>
        </w:tc>
        <w:tc>
          <w:tcPr>
            <w:tcW w:w="3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(2,062</w:t>
            </w:r>
          </w:p>
        </w:tc>
        <w:tc>
          <w:tcPr>
            <w:tcW w:w="43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w:t>
            </w:r>
          </w:p>
        </w:tc>
        <w:tc>
          <w:tcPr>
            <w:tcW w:w="3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w:t>
            </w:r>
          </w:p>
        </w:tc>
        <w:tc>
          <w:tcPr>
            <w:tcW w:w="4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payments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expense not included in the measurement of lease liability</w:t>
            </w:r>
          </w:p>
        </w:tc>
        <w:tc>
          <w:tcPr>
            <w:tcW w:w="146" w:type="dxa"/>
            <w:tcBorders/>
            <w:vAlign w:val="bottom"/>
          </w:tcPr>
          <w:p>
            <w:pPr>
              <w:pStyle w:val="TableContents"/>
              <w:bidi w:val="0"/>
              <w:spacing w:before="0" w:after="283"/>
              <w:jc w:val="left"/>
              <w:rPr/>
            </w:pPr>
            <w:r>
              <w:rPr/>
              <w:t> </w:t>
            </w:r>
          </w:p>
        </w:tc>
        <w:tc>
          <w:tcPr>
            <w:tcW w:w="125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(2,483</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(2,430</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37, provisions are recognized at the reporting date when the Group has an obligation to a third party resulting from a past event and it is probable that the settlement of this obligation will result in an outflow of resources embodying economic benefits from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provisions are discounted if the effect of the time value of money is significant, in accordance with IAS 37. Provisions mainly include provisions for litigation, claims and disputes likely to occur from Group activities, as well as provisions related to the normal operating cycle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are considered current if they cover an obligation that must be settled or resolved within 12 months of the reporting date. Otherwise, provisions are classified as non-current.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has a contract that is onerous, the present obligation under the contract is recognized and measured as a provision. However, before a separate provision for an onerous contract is established, the Group recognizes any impairment loss that has occurred on assets dedicated to that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onerous contract is a contract under which the unavoidable costs (i.e., the costs that the Group cannot avoid because it has the contract) of meeting the obligations under the contract exceed the economic benefits expected to be received under it. The unavoidable costs under a contract reflect the least net cost of exiting from the contract, which is the lower of the cost of fulfilling it and any compensation or penalties arising from failure to fulfil it. The cost of fulfilling a contract comprises the costs that relate directly to the contract (i.e., both incremental costs and an allocation of costs directly related to contract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9979" w:type="dxa"/>
        <w:jc w:val="left"/>
        <w:tblInd w:w="0" w:type="dxa"/>
        <w:tblLayout w:type="fixed"/>
        <w:tblCellMar>
          <w:top w:w="0" w:type="dxa"/>
          <w:left w:w="0" w:type="dxa"/>
          <w:bottom w:w="0" w:type="dxa"/>
          <w:right w:w="0" w:type="dxa"/>
        </w:tblCellMar>
      </w:tblPr>
      <w:tblGrid>
        <w:gridCol w:w="3061"/>
        <w:gridCol w:w="146"/>
        <w:gridCol w:w="1621"/>
        <w:gridCol w:w="146"/>
        <w:gridCol w:w="1396"/>
        <w:gridCol w:w="146"/>
        <w:gridCol w:w="1486"/>
        <w:gridCol w:w="146"/>
        <w:gridCol w:w="183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January 01, 2024</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4,728</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3,296</w:t>
            </w:r>
          </w:p>
        </w:tc>
        <w:tc>
          <w:tcPr>
            <w:tcW w:w="146" w:type="dxa"/>
            <w:tcBorders/>
            <w:vAlign w:val="bottom"/>
          </w:tcPr>
          <w:p>
            <w:pPr>
              <w:pStyle w:val="TableContents"/>
              <w:bidi w:val="0"/>
              <w:spacing w:before="0" w:after="283"/>
              <w:jc w:val="left"/>
              <w:rPr/>
            </w:pPr>
            <w:r>
              <w:rPr/>
              <w:t> </w:t>
            </w:r>
          </w:p>
        </w:tc>
        <w:tc>
          <w:tcPr>
            <w:tcW w:w="18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Provisions </w:t>
      </w:r>
      <w:r>
        <w:rPr>
          <w:rFonts w:ascii="Times New Roman PS Std;serif" w:hAnsi="Times New Roman PS Std;serif"/>
          <w:b w:val="false"/>
          <w:i w:val="false"/>
          <w:caps w:val="false"/>
          <w:smallCaps w:val="false"/>
          <w:sz w:val="20"/>
        </w:rPr>
        <w:t>(cont.)</w:t>
      </w:r>
    </w:p>
    <w:tbl>
      <w:tblPr>
        <w:tblW w:w="9976" w:type="dxa"/>
        <w:jc w:val="left"/>
        <w:tblInd w:w="0" w:type="dxa"/>
        <w:tblLayout w:type="fixed"/>
        <w:tblCellMar>
          <w:top w:w="0" w:type="dxa"/>
          <w:left w:w="0" w:type="dxa"/>
          <w:bottom w:w="0" w:type="dxa"/>
          <w:right w:w="0" w:type="dxa"/>
        </w:tblCellMar>
      </w:tblPr>
      <w:tblGrid>
        <w:gridCol w:w="3061"/>
        <w:gridCol w:w="146"/>
        <w:gridCol w:w="1621"/>
        <w:gridCol w:w="146"/>
        <w:gridCol w:w="1066"/>
        <w:gridCol w:w="329"/>
        <w:gridCol w:w="146"/>
        <w:gridCol w:w="1134"/>
        <w:gridCol w:w="351"/>
        <w:gridCol w:w="146"/>
        <w:gridCol w:w="1340"/>
        <w:gridCol w:w="490"/>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4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9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 December 2024, Pasqal Canada Inc. entered into (i) a contract to supply and install a QPU at Quebec Inc.’s premises and (ii) a related five-year operating and maintenance (“O&amp;M”) agreement. Because of the significant uncertainties affecting the contract price payable by the customer, Pasqual recorded a provision for onerous contract. Based on its best estimate, Pasqal recognized in 2024 a €1,438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provision for an onerous contract and a €235 thousand impairment of inventories in progress.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As of December 31, 2025, the overall level of exposure relating to this contract remained unchanged. The previously recognized onerous contract provision was reversed and reallocated to an impairment of the related work-in-progress inventory (see Note 8.1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As of December 31, 2024, other provisions mainly included a provision of €2,729 thousand for lease termination costs in connection with the cancellation by the Group of a signed lease agreement for new premises in Paris (“Sentier lease”). In 2025, this provision was utilized following the effective termination of the lease during the period and the recognition of actual costs incurred (see Note 23 for further disclosure).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Employee benefit liabilities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19 — Employee Benefits, the liability with respect to defined benefit plans is estimated by using the projected credit unit method, which relies on demographic and financial assumptions.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this method, the cost of retirement benefits is recognized in the consolidated statement of income (loss) in a manner that spreads the expense evenly over the employees’ period of service. Retirement benefit obligations are measured at the present value of estimated future benefit payments, discounted using market rates of high-quality corporate bonds with maturities that approximate the timing of the expected benefit payments.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the provision between the beginning and the end of the period is recognized: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profit or loss, for the portion relating to service costs and net interest expense;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comprehensive income (loss), for the portion corresponding to actuarial gains and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doesn’t operate any other defined benefit plans.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contributions to the defined contribution plan are recognized as expenses in the consolidated statement of income (loss) for the period in which they are incurred.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December 31, 2025, employee benefit liabilities break down as follows:</w:t>
      </w:r>
    </w:p>
    <w:tbl>
      <w:tblPr>
        <w:tblW w:w="7330" w:type="dxa"/>
        <w:jc w:val="left"/>
        <w:tblInd w:w="0" w:type="dxa"/>
        <w:tblLayout w:type="fixed"/>
        <w:tblCellMar>
          <w:top w:w="0" w:type="dxa"/>
          <w:left w:w="0" w:type="dxa"/>
          <w:bottom w:w="0" w:type="dxa"/>
          <w:right w:w="0" w:type="dxa"/>
        </w:tblCellMar>
      </w:tblPr>
      <w:tblGrid>
        <w:gridCol w:w="3721"/>
        <w:gridCol w:w="146"/>
        <w:gridCol w:w="1636"/>
        <w:gridCol w:w="146"/>
        <w:gridCol w:w="1681"/>
      </w:tblGrid>
      <w:tr>
        <w:trPr/>
        <w:tc>
          <w:tcPr>
            <w:tcW w:w="3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Cash-settled share-based payments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6,146</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employee benefit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employee benefit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11,051</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6,839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Employee benefit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France: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employees of the Company in France are entitled to retirement benefits under French law, which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retirement pensions paid by social security bodies, funded through contributions from both the Company and the employees (a defined contribution plan);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lump-sum payment made by the Company to employees when they retire (a defined benefit plan). The amount paid depends on their length of service with the Company and is determined by the collective agreement or Company agreement in force. The retirement indemnity plan (RIP) scheme is statutory and compulsory for all French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 defined benefit scheme for which a provision is established. As of December 31, 2025 and 2024, the amounts were €499 thousand and €405 thousand,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of the Company in Korea are entitled to retirement benefits under Korean labor law. All employees who have completed at least one year of continuous service are entitled to a statutory retirement benefit. It corresponds to a lump-sum payment that depends on the employee’s length of service with the Company and becomes payable upon termination of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statutory severance scheme qualifies as a defined benefit plan under IAS 19. As of December 31, 2025, the benefit obligation amounts to €15 thousand (nil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and present value of the defined benefit obligation are determined using actuarial valuations. An actuarial valuation involves making various assumptions that may differ from actual developments in the future. These include the determination of the discount rate, future salary increases, mortality rates and future pension increases. Due to the complexities involved in the valuation and its long-term nature, a defined benefit obligation is highly sensitive to changes in these assumptions. All assumptions are reviewed at each reporting date. The calculation is most sensitive to changes in the discount rate and compensation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valuations of Pasqal’s benefit obligations were computed by management with assistance from external actuaries. The principal assumptions used are shown below:</w:t>
      </w:r>
    </w:p>
    <w:tbl>
      <w:tblPr>
        <w:tblW w:w="10205" w:type="dxa"/>
        <w:jc w:val="left"/>
        <w:tblInd w:w="0" w:type="dxa"/>
        <w:tblLayout w:type="fixed"/>
        <w:tblCellMar>
          <w:top w:w="0" w:type="dxa"/>
          <w:left w:w="0" w:type="dxa"/>
          <w:bottom w:w="0" w:type="dxa"/>
          <w:right w:w="0" w:type="dxa"/>
        </w:tblCellMar>
      </w:tblPr>
      <w:tblGrid>
        <w:gridCol w:w="1819"/>
        <w:gridCol w:w="146"/>
        <w:gridCol w:w="1433"/>
        <w:gridCol w:w="286"/>
        <w:gridCol w:w="146"/>
        <w:gridCol w:w="1272"/>
        <w:gridCol w:w="494"/>
        <w:gridCol w:w="146"/>
        <w:gridCol w:w="2190"/>
        <w:gridCol w:w="494"/>
        <w:gridCol w:w="146"/>
        <w:gridCol w:w="1633"/>
      </w:tblGrid>
      <w:tr>
        <w:trPr/>
        <w:tc>
          <w:tcPr>
            <w:tcW w:w="181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446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18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actuarial assumptions</w:t>
            </w:r>
          </w:p>
        </w:tc>
        <w:tc>
          <w:tcPr>
            <w:tcW w:w="146" w:type="dxa"/>
            <w:tcBorders/>
            <w:vAlign w:val="bottom"/>
          </w:tcPr>
          <w:p>
            <w:pPr>
              <w:pStyle w:val="TableContents"/>
              <w:bidi w:val="0"/>
              <w:spacing w:before="0" w:after="283"/>
              <w:jc w:val="left"/>
              <w:rPr/>
            </w:pPr>
            <w:r>
              <w:rPr/>
              <w:t> </w:t>
            </w:r>
          </w:p>
        </w:tc>
        <w:tc>
          <w:tcPr>
            <w:tcW w:w="17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2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compensation increase </w:t>
              <w:br/>
              <w:t>(inflation included)</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price inflation</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Retirement age</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Mortality table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 tables 1970 – 2014 Korean Ministry of Data and Statistics</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discount rate used was based on market rates for high-quality “AA” euro-denominated corporate bonds with a duration close to that of the expected benefit payments. The plan duration at the end of the reporting period is approximately 25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discount rate was determined based on sovereign bond market rates with a duration close to that of the expected benefit payments. The plan duration is approximately 2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Tables below reconcile Pasqal’s defined benefit obligations with the amounts recognized in the consolidated income statement and consolidated statement of financial position:</w:t>
      </w:r>
    </w:p>
    <w:tbl>
      <w:tblPr>
        <w:tblW w:w="7797" w:type="dxa"/>
        <w:jc w:val="left"/>
        <w:tblInd w:w="0" w:type="dxa"/>
        <w:tblLayout w:type="fixed"/>
        <w:tblCellMar>
          <w:top w:w="0" w:type="dxa"/>
          <w:left w:w="0" w:type="dxa"/>
          <w:bottom w:w="0" w:type="dxa"/>
          <w:right w:w="0" w:type="dxa"/>
        </w:tblCellMar>
      </w:tblPr>
      <w:tblGrid>
        <w:gridCol w:w="5791"/>
        <w:gridCol w:w="146"/>
        <w:gridCol w:w="1239"/>
        <w:gridCol w:w="621"/>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Defined benefit </w:t>
              <w:br/>
              <w:t>obligations</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 at January 01, 2024</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Defined benefit obligation at December 31, 2024</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405</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 paid</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adjustments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6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Defined benefit obligation at December 31, 2025</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Including a current portion of €6 thousand. Accordingly, the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presented within employee benefit liabilities in the statement of financial position amounts to €509 thousand as of December 31,2025.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amounts recognized respectively in the statement of profit or loss and in other comprehensive income:</w:t>
      </w:r>
    </w:p>
    <w:tbl>
      <w:tblPr>
        <w:tblW w:w="9714" w:type="dxa"/>
        <w:jc w:val="left"/>
        <w:tblInd w:w="0" w:type="dxa"/>
        <w:tblLayout w:type="fixed"/>
        <w:tblCellMar>
          <w:top w:w="0" w:type="dxa"/>
          <w:left w:w="0" w:type="dxa"/>
          <w:bottom w:w="0" w:type="dxa"/>
          <w:right w:w="0" w:type="dxa"/>
        </w:tblCellMar>
      </w:tblPr>
      <w:tblGrid>
        <w:gridCol w:w="6106"/>
        <w:gridCol w:w="146"/>
        <w:gridCol w:w="1175"/>
        <w:gridCol w:w="460"/>
        <w:gridCol w:w="146"/>
        <w:gridCol w:w="1681"/>
      </w:tblGrid>
      <w:tr>
        <w:trPr/>
        <w:tc>
          <w:tcPr>
            <w:tcW w:w="6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 recognized in the statement of profit or loss</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4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r>
      <w:tr>
        <w:trPr/>
        <w:tc>
          <w:tcPr>
            <w:tcW w:w="6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recognized in other comprehensive income</w:t>
            </w:r>
          </w:p>
        </w:tc>
        <w:tc>
          <w:tcPr>
            <w:tcW w:w="146" w:type="dxa"/>
            <w:tcBorders/>
            <w:vAlign w:val="bottom"/>
          </w:tcPr>
          <w:p>
            <w:pPr>
              <w:pStyle w:val="TableContents"/>
              <w:bidi w:val="0"/>
              <w:spacing w:before="0" w:after="283"/>
              <w:jc w:val="left"/>
              <w:rPr/>
            </w:pPr>
            <w:r>
              <w:rPr/>
              <w:t> </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6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quantitative sensitivity analysis for significant assumptions as of December 31, 2025, is shown below:</w:t>
      </w:r>
    </w:p>
    <w:tbl>
      <w:tblPr>
        <w:tblW w:w="10205" w:type="dxa"/>
        <w:jc w:val="left"/>
        <w:tblInd w:w="0" w:type="dxa"/>
        <w:tblLayout w:type="fixed"/>
        <w:tblCellMar>
          <w:top w:w="0" w:type="dxa"/>
          <w:left w:w="0" w:type="dxa"/>
          <w:bottom w:w="0" w:type="dxa"/>
          <w:right w:w="0" w:type="dxa"/>
        </w:tblCellMar>
      </w:tblPr>
      <w:tblGrid>
        <w:gridCol w:w="2391"/>
        <w:gridCol w:w="146"/>
        <w:gridCol w:w="1196"/>
        <w:gridCol w:w="599"/>
        <w:gridCol w:w="146"/>
        <w:gridCol w:w="1196"/>
        <w:gridCol w:w="599"/>
        <w:gridCol w:w="146"/>
        <w:gridCol w:w="1076"/>
        <w:gridCol w:w="719"/>
        <w:gridCol w:w="146"/>
        <w:gridCol w:w="1845"/>
      </w:tblGrid>
      <w:tr>
        <w:trPr/>
        <w:tc>
          <w:tcPr>
            <w:tcW w:w="2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3786"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2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Changes in assumptions</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bidi w:val="0"/>
              <w:spacing w:before="0" w:after="283"/>
              <w:jc w:val="left"/>
              <w:rPr/>
            </w:pPr>
            <w:r>
              <w:rPr/>
              <w:t> </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increase</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 </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sensitivity analyses are based on a change in a significant assumption, keeping all other assumptions constant. The sensitivity analyses may not be representative of an actual change in the defined benefit obligation as it is unlikely that changes in assumptions would occur in isolation from one another.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payments or contributions to the defined benefit plans over the next 5 years amount to €56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Other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MCF acquisition in 2022, a portion of the former shareholders’ remuneration was conditional upon their continued employment. As the contingency was linked to post-combination service, it was not part of the consideration transferred in the business combination. Instead, it is accounted for as deferred remuneration. The outstanding non-current portion as of December 31, 2024 was €288 thousand. As of December 31, 2025, this deferred remuneration is entirely classified as a current liability and is presented within current personnel-related liabilities (see Note 17 for further disclosure).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BSPCEs and options is disclosed in Note 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SARs (Stock Appreciation Rights) granted to corporate officers, employees and service providers are recognized as employee expenses at a value equal to the instrument granted. SARs are cash-settled awards, resulting in recognition of a liability, as the settlement provided for in the contract is a repurchase by Pasqal (i.e., a cash settlement). The expense, corresponding to the difference between the fair value of the liability due to employees and service providers and the subscription price of the right, is measured on the grant date and allocated over the vesting period of the SARs (the period between the grant by the Chairman and the date on which the rights become exercisable), then revalued each financial year at the fair value of Group’s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r>
        <w:rPr>
          <w:rFonts w:ascii="Times New Roman PS Std;serif" w:hAnsi="Times New Roman PS Std;serif"/>
          <w:b/>
          <w:i/>
          <w:caps w:val="false"/>
          <w:smallCaps w:val="false"/>
          <w:sz w:val="20"/>
        </w:rPr>
        <w:t>.</w:t>
      </w:r>
      <w:r>
        <w:rPr>
          <w:rFonts w:ascii="Times New Roman PS Std;serif" w:hAnsi="Times New Roman PS Std;serif"/>
          <w:b/>
          <w:i w:val="false"/>
          <w:caps w:val="false"/>
          <w:smallCaps w:val="false"/>
          <w:sz w:val="20"/>
        </w:rPr>
        <w:t>1. 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BSPCEs and options is provided in Note 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employees that are not resident in France may be granted share appreciation rights (SARs), which are cash-settled instruments. Unlike equity instruments, SARs do not entitle the holder to shares. They operate as “phantom” awards used to determine a deferred cash bonus, the outcome of which results in a cash outflow for the company. Vesting of the SARs is based solely on the employee’s continued service with the Group for a period of ten years from the date of grant.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associated with these awards is measured both at initial recognition and at each reporting date until settlement, based on the fair value of the SARs, determined using a Monte-Carlo simulation model that reflects the terms of the grant and the extent of services rendered by employees. Several SAR plans have been granted by the Chairman between 2022 and 2025 as shown in the table below, with outstanding SARs at year-end reflecting the impact of cancellations and exercises that have occurred since the grant 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2025:</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17,251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35,512</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04_2025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Aeponyx</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3 to 4 years</w:t>
            </w:r>
            <w:r>
              <w:rPr>
                <w:rFonts w:ascii="Times New Roman PS Std;serif" w:hAnsi="Times New Roman PS Std;serif"/>
                <w:b w:val="false"/>
                <w:i w:val="false"/>
                <w:caps w:val="false"/>
                <w:smallCaps w:val="false"/>
                <w:sz w:val="12"/>
              </w:rPr>
              <w:t>(2)</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266,243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125,529</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72,003</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66,811</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197,532</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2024:</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7,550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6,559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28,953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51,803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220,743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95,609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56,423</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41,560</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177,283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number of SARs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Depending on the individual grant terms applicable to each beneficiary.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SAR plans as cash-settled plans.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14.2. IFRS 2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recognized over the periods for share-based payment transactions amounted to €13,872 thousand and €2,777 thousand for the years ended December 31, 2025 and December 31, 2024,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this expense by plan is shown in the following table:</w:t>
      </w:r>
    </w:p>
    <w:tbl>
      <w:tblPr>
        <w:tblW w:w="4105" w:type="dxa"/>
        <w:jc w:val="left"/>
        <w:tblInd w:w="0" w:type="dxa"/>
        <w:tblLayout w:type="fixed"/>
        <w:tblCellMar>
          <w:top w:w="0" w:type="dxa"/>
          <w:left w:w="0" w:type="dxa"/>
          <w:bottom w:w="0" w:type="dxa"/>
          <w:right w:w="0" w:type="dxa"/>
        </w:tblCellMar>
      </w:tblPr>
      <w:tblGrid>
        <w:gridCol w:w="2071"/>
        <w:gridCol w:w="146"/>
        <w:gridCol w:w="916"/>
        <w:gridCol w:w="146"/>
        <w:gridCol w:w="826"/>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9,069</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13,872</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portion of this expense recognized against equity amounted to €9,475 thousand and was recorded within other reserves, whereas the portion recognized against liability amounted to €4,396 thousand and was recognized under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IFRS 2 expense to be recognized in future financial years breaks down as follows:</w:t>
      </w:r>
    </w:p>
    <w:tbl>
      <w:tblPr>
        <w:tblW w:w="3418" w:type="dxa"/>
        <w:jc w:val="left"/>
        <w:tblInd w:w="0" w:type="dxa"/>
        <w:tblLayout w:type="fixed"/>
        <w:tblCellMar>
          <w:top w:w="0" w:type="dxa"/>
          <w:left w:w="0" w:type="dxa"/>
          <w:bottom w:w="0" w:type="dxa"/>
          <w:right w:w="0" w:type="dxa"/>
        </w:tblCellMar>
      </w:tblPr>
      <w:tblGrid>
        <w:gridCol w:w="1591"/>
        <w:gridCol w:w="146"/>
        <w:gridCol w:w="168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8,449</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to be recognized in future financial years by plan is broken down as follows:</w:t>
      </w:r>
    </w:p>
    <w:tbl>
      <w:tblPr>
        <w:tblW w:w="3898" w:type="dxa"/>
        <w:jc w:val="left"/>
        <w:tblInd w:w="0" w:type="dxa"/>
        <w:tblLayout w:type="fixed"/>
        <w:tblCellMar>
          <w:top w:w="0" w:type="dxa"/>
          <w:left w:w="0" w:type="dxa"/>
          <w:bottom w:w="0" w:type="dxa"/>
          <w:right w:w="0" w:type="dxa"/>
        </w:tblCellMar>
      </w:tblPr>
      <w:tblGrid>
        <w:gridCol w:w="2071"/>
        <w:gridCol w:w="146"/>
        <w:gridCol w:w="1681"/>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11,324</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inputs were used in the valuation of the equity-settled plans granted during 2025 and the cash-settled plans, for the year ended December 31, 2025:</w:t>
      </w:r>
    </w:p>
    <w:tbl>
      <w:tblPr>
        <w:tblW w:w="4993" w:type="dxa"/>
        <w:jc w:val="left"/>
        <w:tblInd w:w="0" w:type="dxa"/>
        <w:tblLayout w:type="fixed"/>
        <w:tblCellMar>
          <w:top w:w="0" w:type="dxa"/>
          <w:left w:w="0" w:type="dxa"/>
          <w:bottom w:w="0" w:type="dxa"/>
          <w:right w:w="0" w:type="dxa"/>
        </w:tblCellMar>
      </w:tblPr>
      <w:tblGrid>
        <w:gridCol w:w="3031"/>
        <w:gridCol w:w="146"/>
        <w:gridCol w:w="1816"/>
      </w:tblGrid>
      <w:tr>
        <w:trPr/>
        <w:tc>
          <w:tcPr>
            <w:tcW w:w="30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Assumption</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 2.6%</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 – 188.0%</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exit horizon</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 4.2 years</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underlying share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56.39 – €95.18</w:t>
            </w:r>
          </w:p>
        </w:tc>
      </w:tr>
    </w:tbl>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assumption:    a probabilistic distribution of potential exit dates is applied.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assumptions are not necessarily indicative of exercise patterns that may occur.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Deferred income from government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When the grant relates to an asset, it is recognized as income in equal amounts over the expected useful life of the related asset.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benefits from the following investment grants awarded by the French State and its operators to support its research, development, and industrial deployment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 amount of €2,828 thousand was awarded under the French </w:t>
      </w:r>
      <w:r>
        <w:rPr>
          <w:rFonts w:ascii="Times New Roman PS Std;serif" w:hAnsi="Times New Roman PS Std;serif"/>
          <w:b w:val="false"/>
          <w:i/>
          <w:caps w:val="false"/>
          <w:smallCaps w:val="false"/>
          <w:sz w:val="20"/>
        </w:rPr>
        <w:t>Plan de Relance and the Programme d’Investissements d’Avenir</w:t>
      </w:r>
      <w:r>
        <w:rPr>
          <w:rFonts w:ascii="Times New Roman PS Std;serif" w:hAnsi="Times New Roman PS Std;serif"/>
          <w:b w:val="false"/>
          <w:i w:val="false"/>
          <w:caps w:val="false"/>
          <w:smallCaps w:val="false"/>
          <w:sz w:val="20"/>
        </w:rPr>
        <w:t>, operated by Bpifrance S.A., to support the CEPREQ project, which aimed to develop the Group’s first industrial production line for quantum processors and establish a dedicated R&amp;D center in Massy (France).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€2,495 thousand in public funding from the European Commission under the Horizon 2020 EIC Accelerator program, supporting the development and industrialization of its next-generation neutral-atom quantum processing units, the “Fresnel QPU”.</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Pasqal was awarded a public funding of €1,269 thousand under the French </w:t>
      </w:r>
      <w:r>
        <w:rPr>
          <w:rFonts w:ascii="Times New Roman PS Std;serif" w:hAnsi="Times New Roman PS Std;serif"/>
          <w:b w:val="false"/>
          <w:i/>
          <w:caps w:val="false"/>
          <w:smallCaps w:val="false"/>
          <w:sz w:val="20"/>
        </w:rPr>
        <w:t>Concours d’Innovation</w:t>
      </w:r>
      <w:r>
        <w:rPr>
          <w:rFonts w:ascii="Times New Roman PS Std;serif" w:hAnsi="Times New Roman PS Std;serif"/>
          <w:b w:val="false"/>
          <w:i w:val="false"/>
          <w:caps w:val="false"/>
          <w:smallCaps w:val="false"/>
          <w:sz w:val="20"/>
        </w:rPr>
        <w:t xml:space="preserve"> i-Nov, managed by Bpifrance S.A. The supported program aims to design an architecture capable of significantly increasing the computational repetition rate of the Group’s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15. Deferred income from government grants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€1,234 thousand in public funding under the French France 2030 framework, as part of the i-Demo n°1 call for projects. The funded program focuses on developing innovative laser sources for next-generation neutral-atom quantum computers and integrating them into an advanced demonstrator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was awarded €2,209 thousand for PASQUOPS (2025 – 2028), a Franco-German project coordinated by Pasqal and supported by national innovation agencies. With a total budget of €3,726 thousand, the project brings together six partners to advance scalable, fault-tolerant quantum computing on neutral-atom platforms by improving qubit and gate performance, reducing logical-operation resource requirements, and identifying high-impact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receives several income-related grants, the most significant of which comes from the European Innovation Council (EIC) to support the PANDA project (Photon-Atom Non-linearities and Deterministic Applications). This initiative is the result of a collaboration between five partners, combining both academic and industrial expertise, with the shared objective of fostering innovation and advancing scientific research. The PANDA project aims to lay the foundations for a future photonic quantum computer, by exploring and developing technologies based on photon — atom nonlinear interactions.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entered into a cash grant agreement with the Korean Government. The grant is subject to compliance with specific conditions, including the execution of committed investment expenditures, the achievement of employment targets and the use of the funds in accordance with eligible cost categories. Non-compliance with these conditions could result in the reduction, suspension or repayment of the grant, together with potential penalties or interest. This grant is allocated between asset-related and income-related components based on the nature of the underlying eligible expenditures. As of 31 December 2025, the conditions attached to the grant had not yet been fulfilled. Accordingly, the amounts received have been recognized as deferred income from government grants and will be recognized in profit or loss as and when the related conditions are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deferred income from government grants is as follows:</w:t>
      </w:r>
    </w:p>
    <w:tbl>
      <w:tblPr>
        <w:tblW w:w="9190" w:type="dxa"/>
        <w:jc w:val="left"/>
        <w:tblInd w:w="0" w:type="dxa"/>
        <w:tblLayout w:type="fixed"/>
        <w:tblCellMar>
          <w:top w:w="0" w:type="dxa"/>
          <w:left w:w="0" w:type="dxa"/>
          <w:bottom w:w="0" w:type="dxa"/>
          <w:right w:w="0" w:type="dxa"/>
        </w:tblCellMar>
      </w:tblPr>
      <w:tblGrid>
        <w:gridCol w:w="5581"/>
        <w:gridCol w:w="146"/>
        <w:gridCol w:w="1636"/>
        <w:gridCol w:w="146"/>
        <w:gridCol w:w="1681"/>
      </w:tblGrid>
      <w:tr>
        <w:trPr/>
        <w:tc>
          <w:tcPr>
            <w:tcW w:w="5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non-current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current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16,893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deferred income from government grants mainly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2,209 thousand related to Pasquops,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1,331 thousand related to EIC Accelerator program, of which €832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1,269 thousand related to i-Nov,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1,111 thousand related to i-Demo, of which €864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998 thousand related to Panda, recorded as 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865 thousand related to CEPREQ, of which €539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4,106 thousand related to the grant component of the BPI, Pasqal Canada Investissement Québec and IFA loans, classified as 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2,832 thousand related to the Korean grant, of which €1,982 thousand is classified as non-current.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Contract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movements during the period</w:t>
      </w:r>
    </w:p>
    <w:tbl>
      <w:tblPr>
        <w:tblW w:w="5999" w:type="dxa"/>
        <w:jc w:val="left"/>
        <w:tblInd w:w="0" w:type="dxa"/>
        <w:tblLayout w:type="fixed"/>
        <w:tblCellMar>
          <w:top w:w="0" w:type="dxa"/>
          <w:left w:w="0" w:type="dxa"/>
          <w:bottom w:w="0" w:type="dxa"/>
          <w:right w:w="0" w:type="dxa"/>
        </w:tblCellMar>
      </w:tblPr>
      <w:tblGrid>
        <w:gridCol w:w="4651"/>
        <w:gridCol w:w="146"/>
        <w:gridCol w:w="916"/>
        <w:gridCol w:w="286"/>
      </w:tblGrid>
      <w:tr>
        <w:trPr/>
        <w:tc>
          <w:tcPr>
            <w:tcW w:w="4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liabilities</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accretion reflects the unwinding of discount related to significant financing component identified under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increase mainly reflects the timing difference between the Group’s billing schedule and the satisfaction of its performance obligations, notably with respect to amounts invoiced under Cineca (€5,345 thousand), DistriQ (€2,981 thousand), Julich (€440 thousand) and Genci contracts (€408 thousand). In 2024, increases mainly reflected advances received from Saudi Arabian Oil Company (€9,038 thousand), DGA (€1,800 thousand), GENCI (€1,640 thousand) and Julich (€1,062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revenue recognized from the release of contract liabilities amounted to €6,127 thousand (in 2024: nil) following the commissioning of the QPUs on the Genci and Julich contracts, as the related performance obligations were satisfied. See Note 19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contracts contain a significant financing component within the meaning of IFRS 15. In accordance with IFRS 15, related contract liabilities are accreted using the Group’s incremental borrowing rate determined at contract inception. The incremental borrowing rates applied ranged from 22.14% to 23.13%.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accretion period corresponds to the period between receipt of customer advances and satisfaction of the related performance obligations and generally ranged from 22 to 36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recognized in respect of the significant financing component amounted to €2,718 thousand for the year ended December 31, 2025 and €1,740 thousand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accretion effects relating to the Genci and Julich contracts were released to revenue for an amount of €1,667 thousand, following the commissioning of the QPUs and the satisfaction of the related performance obligations (in 2024: nil). See Note 24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applies the IFRS 15 one-year practical expedient and therefore does not recognize a significant financing component when the period between payment and the transfer of goods or services is one year or 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Other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other non-current and current liabilities is shown in the table below:</w:t>
      </w:r>
    </w:p>
    <w:tbl>
      <w:tblPr>
        <w:tblW w:w="9310" w:type="dxa"/>
        <w:jc w:val="left"/>
        <w:tblInd w:w="0" w:type="dxa"/>
        <w:tblLayout w:type="fixed"/>
        <w:tblCellMar>
          <w:top w:w="0" w:type="dxa"/>
          <w:left w:w="0" w:type="dxa"/>
          <w:bottom w:w="0" w:type="dxa"/>
          <w:right w:w="0" w:type="dxa"/>
        </w:tblCellMar>
      </w:tblPr>
      <w:tblGrid>
        <w:gridCol w:w="5701"/>
        <w:gridCol w:w="146"/>
        <w:gridCol w:w="1636"/>
        <w:gridCol w:w="146"/>
        <w:gridCol w:w="1681"/>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9,556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6,607</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Personnel-related liabilities(1)</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2,688</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6,475</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contingent consideration financial liability(2)</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25,235</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27,995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MCF former shareholders’ deferred remuneration for €403 thousand. See Note 13.2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The contingent consideration financial liability arose from the acquisition of Aeponyx completed in 2024 and comprised the issuance of 51,923 Exchangeable Shares and 55,384 Milestone Shares of Pasqal SAS, the Milestone Shares being subject to the achievement of specified operational performance milestones on or before August 1, 2026.</w:t>
      </w:r>
      <w:r>
        <w:rPr>
          <w:rFonts w:ascii="Times New Roman PS Std;serif" w:hAnsi="Times New Roman PS Std;serif"/>
          <w:b w:val="false"/>
          <w:i w:val="false"/>
          <w:caps w:val="false"/>
          <w:smallCaps w:val="false"/>
          <w:sz w:val="18"/>
        </w:rPr>
        <w:t> </w:t>
      </w:r>
      <w:r>
        <w:rPr>
          <w:rFonts w:ascii="Times New Roman PS Std;serif" w:hAnsi="Times New Roman PS Std;serif"/>
          <w:b w:val="false"/>
          <w:i/>
          <w:caps w:val="false"/>
          <w:smallCaps w:val="false"/>
          <w:sz w:val="18"/>
        </w:rPr>
        <w:t>The contingent consideration was initially recognized as a financial liability in accordance with IAS 32, as settlement was expected to occur through the issuance of a variable number of Pasqal shares and therefore did not meet the fixed-for-fixed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criterion for equity classification. On December 16, 2025, the exchange ratio applicable to the Exchangeable and Milestone Shares became contractually fixed. As this portion of the contingent consideration no longer met the definition of a financial liability under IAS 32, the Group recognized the related instrument within equity for an amount of €14,839 thousand, corresponding to its fair value at the reclassification date (see Note 9.3). The related financial liability was measured at fair value of €14,913 thousand as of December 31, 2024. Refer to Note 18 for fair value measurement disclosures and to Note 33 for the prior period revision related to the initial recognition of this liability.</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18.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financial instruments at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principal market for the asset or liability;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absence of a principal market, in the most advantageous market for the asset or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or the most advantageous market must be accessible by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an asset or a liability is measured using the assumptions that market participants would use when pricing the asset or liability, assuming that market participants act in their economic best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valuation techniques that are appropriate in the circumstances and for which sufficient data are available to measure fair value, maximizing the use of relevant observable inputs and minimizing the use of unobservable inputs.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(unadjusted) market prices in active markets for identical assets or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Valuation techniques for which the lowest level input that is significant to the fair value measurement is directly or indirectly observable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Valuation techniques for which the lowest level input that is significant to the fair value measurement is unobservable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experts are involved for fair valuation.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assesses that the fair values of cash, trade receivables, trade payables and other current financial assets and liabilities approximate their carrying amounts largely due to the short-term maturities of these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fair values of financial assets and financial liabilities recorded in the statement of financial position cannot be measured based on quoted prices in active markets, their fair value is measured using valuation techniques. A degree of judgement is required in establishing fair values. Related changes in assumptions could affect the reported fair value of financial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Contingent consideration — Aeponyx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contingent consideration related to the acquisition of Aeponyx is measured at fair value using a probability-weighted valuation model based on the estimated number of Milestone Shares expected to be issued and the reference share price of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incorporates contractual settlement scenarios and management’s assessment of the probability of achievement of the operational and performance milestones. The valuation was supported by an external valuation specialist.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unobservable inputs used in the valuation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reference share price of Pasqal SAS;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estimated number of Milestone Shares expected to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probability of achievement of the operational and performance milestones;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settlement mechanics and applicable exchange ratio scenarios;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discount rate reflecting the time value of money and the credit risk associated with the instrument.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financial liability was classified within non-current liabilities as of December 31, 2024. As of December 31, 2025, the fixed Exchangeable and Milestone Shares were recognized within equity following the determination of the exchange ratio upon completion of the Series C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in the fair value of the contingent consideration during the period were as follows:</w:t>
      </w:r>
    </w:p>
    <w:tbl>
      <w:tblPr>
        <w:tblW w:w="10205" w:type="dxa"/>
        <w:jc w:val="left"/>
        <w:tblInd w:w="0" w:type="dxa"/>
        <w:tblLayout w:type="fixed"/>
        <w:tblCellMar>
          <w:top w:w="0" w:type="dxa"/>
          <w:left w:w="0" w:type="dxa"/>
          <w:bottom w:w="0" w:type="dxa"/>
          <w:right w:w="0" w:type="dxa"/>
        </w:tblCellMar>
      </w:tblPr>
      <w:tblGrid>
        <w:gridCol w:w="4597"/>
        <w:gridCol w:w="146"/>
        <w:gridCol w:w="916"/>
        <w:gridCol w:w="241"/>
        <w:gridCol w:w="146"/>
        <w:gridCol w:w="4159"/>
      </w:tblGrid>
      <w:tr>
        <w:trPr/>
        <w:tc>
          <w:tcPr>
            <w:tcW w:w="4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 (in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 P&amp;L line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recognition at acquisition date (July 29,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 (non-current)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Exchangeable Shares within equity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Milestone Shares within equity</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bidi w:val="0"/>
              <w:spacing w:before="0" w:after="283"/>
              <w:jc w:val="left"/>
              <w:rPr/>
            </w:pPr>
            <w:r>
              <w:rPr/>
              <w:t> </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Unwinding of discount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balance at December 31, 2025 (current)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the fair value measurement hierarchy of the Group’s financial assets and liabilities:</w:t>
      </w:r>
    </w:p>
    <w:tbl>
      <w:tblPr>
        <w:tblW w:w="11647" w:type="dxa"/>
        <w:jc w:val="left"/>
        <w:tblInd w:w="0" w:type="dxa"/>
        <w:tblLayout w:type="fixed"/>
        <w:tblCellMar>
          <w:top w:w="0" w:type="dxa"/>
          <w:left w:w="0" w:type="dxa"/>
          <w:bottom w:w="0" w:type="dxa"/>
          <w:right w:w="0" w:type="dxa"/>
        </w:tblCellMar>
      </w:tblPr>
      <w:tblGrid>
        <w:gridCol w:w="1246"/>
        <w:gridCol w:w="146"/>
        <w:gridCol w:w="901"/>
        <w:gridCol w:w="146"/>
        <w:gridCol w:w="1186"/>
        <w:gridCol w:w="146"/>
        <w:gridCol w:w="1098"/>
        <w:gridCol w:w="328"/>
        <w:gridCol w:w="146"/>
        <w:gridCol w:w="1081"/>
        <w:gridCol w:w="146"/>
        <w:gridCol w:w="901"/>
        <w:gridCol w:w="146"/>
        <w:gridCol w:w="1186"/>
        <w:gridCol w:w="146"/>
        <w:gridCol w:w="1064"/>
        <w:gridCol w:w="362"/>
        <w:gridCol w:w="146"/>
        <w:gridCol w:w="1126"/>
      </w:tblGrid>
      <w:tr>
        <w:trPr/>
        <w:tc>
          <w:tcPr>
            <w:tcW w:w="12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vMerge w:val="restart"/>
            <w:tcBorders/>
            <w:vAlign w:val="bottom"/>
          </w:tcPr>
          <w:p>
            <w:pPr>
              <w:pStyle w:val="TableContents"/>
              <w:bidi w:val="0"/>
              <w:spacing w:before="0" w:after="283"/>
              <w:jc w:val="left"/>
              <w:rPr/>
            </w:pPr>
            <w:r>
              <w:rPr/>
              <w:t> </w:t>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Deposits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11,202</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receivables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5,608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Government grants receivable</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10,870</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73,762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7,163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assets</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97,170</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31,369</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Borrowings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102,278</w:t>
            </w:r>
          </w:p>
        </w:tc>
        <w:tc>
          <w:tcPr>
            <w:tcW w:w="32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10,526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4,816</w:t>
            </w:r>
          </w:p>
        </w:tc>
        <w:tc>
          <w:tcPr>
            <w:tcW w:w="36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8,566</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Lease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11,025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and other payables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9,556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6,607</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Cash-settled share-based payment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10,542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6,146</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Contingent consideration financial liability</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14,913</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financial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8,084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6,475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liabilities</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112,820</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38,318</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25,875</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carrying amount of financial assets measured at amortized cost is deemed to be a reasonable estimation of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fair value of the bonds redeemable in shares measured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Corresponds to the fair value of the convertible loan measured as at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Relates to the contingent consideration financial liability arising from the acquisition of Aeponyx completed in 2024. This amount was reclassified, within equity in 2025 (see Note 17). See Notes 17 and 33 for further disclosures on the Exchangeable and Milestone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values (including accrued interest) for the main financial liabilities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 Innovation R&amp;D (EUR): €960 thousand at December 31, 2025 (€1,118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Amorçage Investissement (EUR): €1,119 thousand at December 31, 2025 (€1,291 thousand at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Investissement Québec (CAD): €1,621 thousand at December 31, 2025 (€1,081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BDC Capital Inc (CAD): €1,995 thousand at December 31, 2025 (€2,293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Illinois Finance Authority (USD): €1,634 thousand at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19.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 Revenue recognition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generates revenue from the sale of quantum equipment (QPU) and from the sale of QPU-related services which include computing time on quantum computers, maintenance services and research and development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contracts with customers is recognized when control of the goods or services is transferred to the customer at an amount that reflects the consideration to which the Group expects to be entitled in exchange for those goods or services. The Group has concluded that it is the principal in its revenue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 sales (including licenses, hardware and software) is recognized at the point in time when control of the asset is transferred to the customer. QPU sales are recognized at a point in time, as customer arrangements do not meet the criteria for over-time revenue recognition under IFRS 15. In particular, the Group does not develop QPUs for customer-specific configurations, and the related performance obligation is therefore satisfied only upon the transfer of control, generally upon completion of installation and acceptance of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relating to time-sharing computing services, or maintenance, is recognized over time on a usage or straight-line basis. Research and development services revenue is recognized over time using the cost to cost method to measure progress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sales cryogenic systems (4K cryostats) used in quantum technology research. Revenue from the sale of cryostats is recognized at the point in time when control of the asset is transferred to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unlikely to be collected is not recognized in the financial statements for the period in which the performance obligation is satisfied.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whether there are other promises in the contract that are separate performance obligations to which a portion of the transaction price needs to be allocated. In determining the transaction price for each performance obligation, the Group considers, among other factors, the effects of variable consideration and the existence of a significant financing component. Variable (including contingent) consideration is included in the transaction price only to the extent that it is highly probable that no significant reversal of cumulative revenue will arise when the uncertainty is resolved.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financing component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receives advance payments from customers for the sale of quantum processing units (QPU) with a delivery and commissioning lead time of two years after signing the contract and receipt of payment. There is a significant financing component for these contracts considering the length of time between the customers’ payment and the transfer of the equipment, as well as the prevailing interest rate in the market. As such, the transaction price is adjusted and an interest expense is accreted on contract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is recognized if a payment is received or a payment is due (whichever is earlier) from a customer before the Group transfers the related goods or services. Contract liabilities are recognized as revenue when the Group satisfies the related performance obligations in accordance with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 Breakdown of revenue</w:t>
      </w:r>
    </w:p>
    <w:tbl>
      <w:tblPr>
        <w:tblW w:w="5350" w:type="dxa"/>
        <w:jc w:val="left"/>
        <w:tblInd w:w="0" w:type="dxa"/>
        <w:tblLayout w:type="fixed"/>
        <w:tblCellMar>
          <w:top w:w="0" w:type="dxa"/>
          <w:left w:w="0" w:type="dxa"/>
          <w:bottom w:w="0" w:type="dxa"/>
          <w:right w:w="0" w:type="dxa"/>
        </w:tblCellMar>
      </w:tblPr>
      <w:tblGrid>
        <w:gridCol w:w="3316"/>
        <w:gridCol w:w="146"/>
        <w:gridCol w:w="916"/>
        <w:gridCol w:w="146"/>
        <w:gridCol w:w="826"/>
      </w:tblGrid>
      <w:tr>
        <w:trPr/>
        <w:tc>
          <w:tcPr>
            <w:tcW w:w="3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by products or services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the release of the accretion effect related to the significant financing components amounting to €1,667 thousand. See Note 16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QPU-related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are mainly made of R&amp;D services. QPU maintenance services represent €7 thousand. No revenue was recognized on time-sharing computing services as at December 31, 2025.</w:t>
      </w:r>
    </w:p>
    <w:tbl>
      <w:tblPr>
        <w:tblW w:w="5856" w:type="dxa"/>
        <w:jc w:val="left"/>
        <w:tblInd w:w="0" w:type="dxa"/>
        <w:tblLayout w:type="fixed"/>
        <w:tblCellMar>
          <w:top w:w="0" w:type="dxa"/>
          <w:left w:w="0" w:type="dxa"/>
          <w:bottom w:w="0" w:type="dxa"/>
          <w:right w:w="0" w:type="dxa"/>
        </w:tblCellMar>
      </w:tblPr>
      <w:tblGrid>
        <w:gridCol w:w="1786"/>
        <w:gridCol w:w="146"/>
        <w:gridCol w:w="916"/>
        <w:gridCol w:w="146"/>
        <w:gridCol w:w="511"/>
        <w:gridCol w:w="361"/>
        <w:gridCol w:w="146"/>
        <w:gridCol w:w="781"/>
        <w:gridCol w:w="146"/>
        <w:gridCol w:w="511"/>
        <w:gridCol w:w="406"/>
      </w:tblGrid>
      <w:tr>
        <w:trPr/>
        <w:tc>
          <w:tcPr>
            <w:tcW w:w="1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4,387</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Europe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the world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three customers each accounted for more than 10% of the Group’s consolidated revenue, generated from QPU sales and QPU-related services in France and Germany. These three customers together accounted for 78% of the Group’s consolidated revenue (€12,826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only one customer accounted for more than 10% of the Group’s consolidated revenue, generated from QPU-related services in France. This customer accounted for 23% of the Group’s consolidated revenue (€800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 Remaining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order book (firm orders not fulfilled) and the provisional schedule for the fulfilment of the unfulfilled performance obligations is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35,432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Unfulfilled performance obligations as of December 31, 2024 were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13,827</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22,323</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36,150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expected revenue was included for Quebec Inc. due to the significant uncertainty on variable consideration.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20. Purchases of material</w:t>
      </w:r>
    </w:p>
    <w:tbl>
      <w:tblPr>
        <w:tblW w:w="6987" w:type="dxa"/>
        <w:jc w:val="left"/>
        <w:tblInd w:w="0" w:type="dxa"/>
        <w:tblLayout w:type="fixed"/>
        <w:tblCellMar>
          <w:top w:w="0" w:type="dxa"/>
          <w:left w:w="0" w:type="dxa"/>
          <w:bottom w:w="0" w:type="dxa"/>
          <w:right w:w="0" w:type="dxa"/>
        </w:tblCellMar>
      </w:tblPr>
      <w:tblGrid>
        <w:gridCol w:w="4546"/>
        <w:gridCol w:w="146"/>
        <w:gridCol w:w="811"/>
        <w:gridCol w:w="241"/>
        <w:gridCol w:w="146"/>
        <w:gridCol w:w="811"/>
        <w:gridCol w:w="286"/>
      </w:tblGrid>
      <w:tr>
        <w:trPr/>
        <w:tc>
          <w:tcPr>
            <w:tcW w:w="4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material</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(6,799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Mainly purchases of goods.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21. Employee salaries and benefit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amount to €38,671 thousand for the year ended December 31, 2025, compared with €27,860 thousand in 2024.</w:t>
      </w:r>
    </w:p>
    <w:tbl>
      <w:tblPr>
        <w:tblW w:w="7272" w:type="dxa"/>
        <w:jc w:val="left"/>
        <w:tblInd w:w="0" w:type="dxa"/>
        <w:tblLayout w:type="fixed"/>
        <w:tblCellMar>
          <w:top w:w="0" w:type="dxa"/>
          <w:left w:w="0" w:type="dxa"/>
          <w:bottom w:w="0" w:type="dxa"/>
          <w:right w:w="0" w:type="dxa"/>
        </w:tblCellMar>
      </w:tblPr>
      <w:tblGrid>
        <w:gridCol w:w="4561"/>
        <w:gridCol w:w="146"/>
        <w:gridCol w:w="946"/>
        <w:gridCol w:w="241"/>
        <w:gridCol w:w="146"/>
        <w:gridCol w:w="946"/>
        <w:gridCol w:w="286"/>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plan(b)</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salaries and benefit expenses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(27,860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Including in 2025:</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Spreading of the expense relating to post-combination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services in relation with the MCF acquisition for €191 thousand (€383 thousand in 2024).</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Expense for the financial year relating to BSPCEs, SARs and options for an amount of €13,872 thousand (€2,777 thousand in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See further disclosures in Note 13 — Defined benefit obligation.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average headcount breaks down as follows:</w:t>
      </w:r>
    </w:p>
    <w:tbl>
      <w:tblPr>
        <w:tblW w:w="7060" w:type="dxa"/>
        <w:jc w:val="left"/>
        <w:tblInd w:w="0" w:type="dxa"/>
        <w:tblLayout w:type="fixed"/>
        <w:tblCellMar>
          <w:top w:w="0" w:type="dxa"/>
          <w:left w:w="0" w:type="dxa"/>
          <w:bottom w:w="0" w:type="dxa"/>
          <w:right w:w="0" w:type="dxa"/>
        </w:tblCellMar>
      </w:tblPr>
      <w:tblGrid>
        <w:gridCol w:w="3451"/>
        <w:gridCol w:w="146"/>
        <w:gridCol w:w="1636"/>
        <w:gridCol w:w="146"/>
        <w:gridCol w:w="1681"/>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and administrative staff</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France Workforce</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w:t>
            </w:r>
          </w:p>
        </w:tc>
      </w:tr>
      <w:tr>
        <w:trPr/>
        <w:tc>
          <w:tcPr>
            <w:tcW w:w="3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Expatriate and local headcount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Average Group headcount</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22. Professional services and other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External services primarily consist of outsourced activities such as accounting and legal fees, lease expenses that fall outside the scope of IFRS 16 — Leases (short-term leases, low-value assets, and variable lease payments, see Notes 7.4 and 11), as well as other miscellaneous expenses. See detailed breakdown below.</w:t>
      </w:r>
    </w:p>
    <w:tbl>
      <w:tblPr>
        <w:tblW w:w="7287" w:type="dxa"/>
        <w:jc w:val="left"/>
        <w:tblInd w:w="0" w:type="dxa"/>
        <w:tblLayout w:type="fixed"/>
        <w:tblCellMar>
          <w:top w:w="0" w:type="dxa"/>
          <w:left w:w="0" w:type="dxa"/>
          <w:bottom w:w="0" w:type="dxa"/>
          <w:right w:w="0" w:type="dxa"/>
        </w:tblCellMar>
      </w:tblPr>
      <w:tblGrid>
        <w:gridCol w:w="4576"/>
        <w:gridCol w:w="146"/>
        <w:gridCol w:w="946"/>
        <w:gridCol w:w="241"/>
        <w:gridCol w:w="146"/>
        <w:gridCol w:w="946"/>
        <w:gridCol w:w="286"/>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postage</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Professional services and other services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(19,641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23. Other operating income and expenses</w:t>
      </w:r>
    </w:p>
    <w:tbl>
      <w:tblPr>
        <w:tblW w:w="6897" w:type="dxa"/>
        <w:jc w:val="left"/>
        <w:tblInd w:w="0" w:type="dxa"/>
        <w:tblLayout w:type="fixed"/>
        <w:tblCellMar>
          <w:top w:w="0" w:type="dxa"/>
          <w:left w:w="0" w:type="dxa"/>
          <w:bottom w:w="0" w:type="dxa"/>
          <w:right w:w="0" w:type="dxa"/>
        </w:tblCellMar>
      </w:tblPr>
      <w:tblGrid>
        <w:gridCol w:w="4486"/>
        <w:gridCol w:w="146"/>
        <w:gridCol w:w="781"/>
        <w:gridCol w:w="241"/>
        <w:gridCol w:w="146"/>
        <w:gridCol w:w="811"/>
        <w:gridCol w:w="286"/>
      </w:tblGrid>
      <w:tr>
        <w:trPr/>
        <w:tc>
          <w:tcPr>
            <w:tcW w:w="4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 for onerous contracts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taxes and levies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intangible assets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tangible assets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operating income and expenses</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24. Finance income</w:t>
      </w:r>
    </w:p>
    <w:tbl>
      <w:tblPr>
        <w:tblW w:w="6835" w:type="dxa"/>
        <w:jc w:val="left"/>
        <w:tblInd w:w="0" w:type="dxa"/>
        <w:tblLayout w:type="fixed"/>
        <w:tblCellMar>
          <w:top w:w="0" w:type="dxa"/>
          <w:left w:w="0" w:type="dxa"/>
          <w:bottom w:w="0" w:type="dxa"/>
          <w:right w:w="0" w:type="dxa"/>
        </w:tblCellMar>
      </w:tblPr>
      <w:tblGrid>
        <w:gridCol w:w="4936"/>
        <w:gridCol w:w="146"/>
        <w:gridCol w:w="781"/>
        <w:gridCol w:w="146"/>
        <w:gridCol w:w="826"/>
      </w:tblGrid>
      <w:tr>
        <w:trPr/>
        <w:tc>
          <w:tcPr>
            <w:tcW w:w="49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from cash and cash equivalents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on financial operations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1,574</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25. Interest expense and other financial expenses</w:t>
      </w:r>
    </w:p>
    <w:tbl>
      <w:tblPr>
        <w:tblW w:w="7902" w:type="dxa"/>
        <w:jc w:val="left"/>
        <w:tblInd w:w="0" w:type="dxa"/>
        <w:tblLayout w:type="fixed"/>
        <w:tblCellMar>
          <w:top w:w="0" w:type="dxa"/>
          <w:left w:w="0" w:type="dxa"/>
          <w:bottom w:w="0" w:type="dxa"/>
          <w:right w:w="0" w:type="dxa"/>
        </w:tblCellMar>
      </w:tblPr>
      <w:tblGrid>
        <w:gridCol w:w="5461"/>
        <w:gridCol w:w="146"/>
        <w:gridCol w:w="811"/>
        <w:gridCol w:w="241"/>
        <w:gridCol w:w="146"/>
        <w:gridCol w:w="811"/>
        <w:gridCol w:w="286"/>
      </w:tblGrid>
      <w:tr>
        <w:trPr/>
        <w:tc>
          <w:tcPr>
            <w:tcW w:w="5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on financial operations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of financial liabilities measured at FVPL</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 and other financial expenses</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(8,410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interest expense related to the accretion of contract liabilities amounting to €2,718 thousand (see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26.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recognized to reflect the differences between the book values and tax values of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They result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differences arising when the book value of an asset or liability differs from its tax value. These are either: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taxes: (deferred tax liabilities) these are essentially income for which taxation is deferred;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deductions (deferred tax assets): these mainly comprise provisions that are temporarily non-deductible for tax purposes.</w:t>
      </w:r>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assets are recognized to the extent that it is probable that sufficient taxable income will be available against which the temporary differences can be offset, and are reviewed at each reporting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loss carry-forwards (deferred tax assets) that are likely to be recovered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measured at the local tax rates expected to apply in the period in which the asset will be realized and the liability settled, based on tax rates that have been enacted or substantively enacted at the reporting date, depending on the country. Thus, as of December 31, 2025, temporary differences and tax loss carry-forwards of French entities were recognized at the rates enacted, i.e., 25% for 2025 and beyond. The tax rate for 2024 was 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it is not probable for a group entity to recover net deferred tax assets in the medium term, the net deferred tax assets of that entity are impaired.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 Income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allocation of income tax expense between current and deferred taxes:</w:t>
      </w:r>
    </w:p>
    <w:tbl>
      <w:tblPr>
        <w:tblW w:w="3401" w:type="dxa"/>
        <w:jc w:val="left"/>
        <w:tblInd w:w="0" w:type="dxa"/>
        <w:tblLayout w:type="fixed"/>
        <w:tblCellMar>
          <w:top w:w="0" w:type="dxa"/>
          <w:left w:w="0" w:type="dxa"/>
          <w:bottom w:w="0" w:type="dxa"/>
          <w:right w:w="0" w:type="dxa"/>
        </w:tblCellMar>
      </w:tblPr>
      <w:tblGrid>
        <w:gridCol w:w="1636"/>
        <w:gridCol w:w="146"/>
        <w:gridCol w:w="526"/>
        <w:gridCol w:w="256"/>
        <w:gridCol w:w="146"/>
        <w:gridCol w:w="691"/>
      </w:tblGrid>
      <w:tr>
        <w:trPr/>
        <w:tc>
          <w:tcPr>
            <w:tcW w:w="16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 Deferred tax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Deferred tax assets are recognized only to the extent that it is probable that future taxable profits will be available against which deductible temporary differences and tax loss carryforwards can be utilized. Accordingly, deferred tax assets have not been recognized for certain loss-making entities.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unrecognized deferred tax assets mainly related to tax loss carryforwards of Pasqal SAS amounting to €126.5 million and Pasqal Canada amounting to €7.0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Group’s net deferred tax liability position mainly arose from the fair value step-up recognized on the technology acquired in the Aeponyx acquisition, partially offset by deferred tax assets recognized on Aeponyx’s tax loss carryforwards. In 2025, changes in Aeponyx’s tax loss carryforwards further offset the deferred tax liability relating to the fair value step-up. As a result, the Group’s net deferred tax liability position amounted to €366 thousand as of December 31, 2025 (€276 thousand as of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26. Income taxes </w:t>
      </w:r>
      <w:r>
        <w:rPr>
          <w:rFonts w:ascii="Times New Roman PS Std;serif" w:hAnsi="Times New Roman PS Std;serif"/>
          <w:b w:val="false"/>
          <w:i w:val="false"/>
          <w:caps w:val="false"/>
          <w:smallCaps w:val="false"/>
          <w:sz w:val="20"/>
        </w:rPr>
        <w:t>(cont.)</w:t>
      </w:r>
    </w:p>
    <w:tbl>
      <w:tblPr>
        <w:tblW w:w="8843" w:type="dxa"/>
        <w:jc w:val="left"/>
        <w:tblInd w:w="0" w:type="dxa"/>
        <w:tblLayout w:type="fixed"/>
        <w:tblCellMar>
          <w:top w:w="0" w:type="dxa"/>
          <w:left w:w="0" w:type="dxa"/>
          <w:bottom w:w="0" w:type="dxa"/>
          <w:right w:w="0" w:type="dxa"/>
        </w:tblCellMar>
      </w:tblPr>
      <w:tblGrid>
        <w:gridCol w:w="5236"/>
        <w:gridCol w:w="146"/>
        <w:gridCol w:w="1249"/>
        <w:gridCol w:w="386"/>
        <w:gridCol w:w="146"/>
        <w:gridCol w:w="1229"/>
        <w:gridCol w:w="451"/>
      </w:tblGrid>
      <w:tr>
        <w:trPr/>
        <w:tc>
          <w:tcPr>
            <w:tcW w:w="52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taxes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Deferred tax liabilities</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(366</w:t>
            </w:r>
          </w:p>
        </w:tc>
        <w:tc>
          <w:tcPr>
            <w:tcW w:w="3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w:t>
            </w:r>
          </w:p>
        </w:tc>
        <w:tc>
          <w:tcPr>
            <w:tcW w:w="4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nature</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Aeponyx’s tax loss carryforwards(1)</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3,018</w:t>
            </w:r>
          </w:p>
        </w:tc>
        <w:tc>
          <w:tcPr>
            <w:tcW w:w="4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PPA(1)(2)</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(3,294</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country</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Deferred tax balances mainly relate to the fair value step-up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on the technology recognized at the Aeponyx acquisition and to Aeponyx’s tax loss carryforwards existing at the acquisition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See Note 7.1 for further disclosure on Aeponyx’s acquisition.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27. Earnings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the basic and diluted earnings per share.</w:t>
      </w:r>
    </w:p>
    <w:tbl>
      <w:tblPr>
        <w:tblW w:w="10205" w:type="dxa"/>
        <w:jc w:val="left"/>
        <w:tblInd w:w="0" w:type="dxa"/>
        <w:tblLayout w:type="fixed"/>
        <w:tblCellMar>
          <w:top w:w="0" w:type="dxa"/>
          <w:left w:w="0" w:type="dxa"/>
          <w:bottom w:w="0" w:type="dxa"/>
          <w:right w:w="0" w:type="dxa"/>
        </w:tblCellMar>
      </w:tblPr>
      <w:tblGrid>
        <w:gridCol w:w="7104"/>
        <w:gridCol w:w="146"/>
        <w:gridCol w:w="1126"/>
        <w:gridCol w:w="256"/>
        <w:gridCol w:w="146"/>
        <w:gridCol w:w="1126"/>
        <w:gridCol w:w="301"/>
      </w:tblGrid>
      <w:tr>
        <w:trPr/>
        <w:tc>
          <w:tcPr>
            <w:tcW w:w="71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Numerator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attributable to owners of the parent from continuing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outstanding used in computing basic and diluted loss per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6,929,134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 and diluted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 reported a loss of €92.355 thousand for the year ended December 31, 2025 (€48,498 thousand for the year ended December 31, 2024), diluted loss per share excludes all instruments that could potentially dilute earnings per share in the future periods. They were not included in the calculation of diluted earnings per share because they are antidilutive for the period presented. Accordingly, diluted loss per share is identical to basic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total number of potential ordinary shares related to instruments that could potentially dilute basic earnings per share amounted to 8,460,074 (as of December 31, 2024: 7,985,184), including contingently issuable upon settlement of contingent consideration arrangements. See Notes 9.4, 10 and 17 for further details on these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28. Related party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 Definition of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parties are defined in accordance with IAS 24 — Related Party Disclosures. Related parties include, among others, key management personnel (“KMP”), members of governance bodies, shareholders and other parties as defined under IAS 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have a parent company and therefore does not have an ultimate controlling parent.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 Related party transactions and balances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Transactions and balances (excluding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28. Related party disclosures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and balances with related parties occurred during the period:</w:t>
      </w:r>
    </w:p>
    <w:tbl>
      <w:tblPr>
        <w:tblW w:w="6565" w:type="dxa"/>
        <w:jc w:val="left"/>
        <w:tblInd w:w="0" w:type="dxa"/>
        <w:tblLayout w:type="fixed"/>
        <w:tblCellMar>
          <w:top w:w="0" w:type="dxa"/>
          <w:left w:w="0" w:type="dxa"/>
          <w:bottom w:w="0" w:type="dxa"/>
          <w:right w:w="0" w:type="dxa"/>
        </w:tblCellMar>
      </w:tblPr>
      <w:tblGrid>
        <w:gridCol w:w="2956"/>
        <w:gridCol w:w="146"/>
        <w:gridCol w:w="1636"/>
        <w:gridCol w:w="146"/>
        <w:gridCol w:w="1681"/>
      </w:tblGrid>
      <w:tr>
        <w:trPr/>
        <w:tc>
          <w:tcPr>
            <w:tcW w:w="2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24,364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grants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and expenses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Key management personnel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December 31, 2025, key management personnel consist of 11 individuals (as of December 31, 2024: 11 individuals), including individuals who ceased their functions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compensation was as follows:</w:t>
      </w:r>
    </w:p>
    <w:tbl>
      <w:tblPr>
        <w:tblW w:w="10205" w:type="dxa"/>
        <w:jc w:val="left"/>
        <w:tblInd w:w="0" w:type="dxa"/>
        <w:tblLayout w:type="fixed"/>
        <w:tblCellMar>
          <w:top w:w="0" w:type="dxa"/>
          <w:left w:w="0" w:type="dxa"/>
          <w:bottom w:w="0" w:type="dxa"/>
          <w:right w:w="0" w:type="dxa"/>
        </w:tblCellMar>
      </w:tblPr>
      <w:tblGrid>
        <w:gridCol w:w="6604"/>
        <w:gridCol w:w="146"/>
        <w:gridCol w:w="1631"/>
        <w:gridCol w:w="146"/>
        <w:gridCol w:w="1678"/>
      </w:tblGrid>
      <w:tr>
        <w:trPr/>
        <w:tc>
          <w:tcPr>
            <w:tcW w:w="66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short-term benefits</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1,993</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1,973</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 transactions(1)</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8,114</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recognized to key management personnel</w:t>
            </w:r>
          </w:p>
        </w:tc>
        <w:tc>
          <w:tcPr>
            <w:tcW w:w="146" w:type="dxa"/>
            <w:tcBorders/>
            <w:vAlign w:val="bottom"/>
          </w:tcPr>
          <w:p>
            <w:pPr>
              <w:pStyle w:val="TableContents"/>
              <w:bidi w:val="0"/>
              <w:spacing w:before="0" w:after="283"/>
              <w:jc w:val="left"/>
              <w:rPr/>
            </w:pPr>
            <w:r>
              <w:rPr/>
              <w:t> </w:t>
            </w:r>
          </w:p>
        </w:tc>
        <w:tc>
          <w:tcPr>
            <w:tcW w:w="16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10,132</w:t>
            </w:r>
          </w:p>
        </w:tc>
        <w:tc>
          <w:tcPr>
            <w:tcW w:w="146" w:type="dxa"/>
            <w:tcBorders/>
            <w:vAlign w:val="bottom"/>
          </w:tcPr>
          <w:p>
            <w:pPr>
              <w:pStyle w:val="TableContents"/>
              <w:bidi w:val="0"/>
              <w:spacing w:before="0" w:after="283"/>
              <w:jc w:val="left"/>
              <w:rPr/>
            </w:pPr>
            <w:r>
              <w:rPr/>
              <w:t> </w:t>
            </w:r>
          </w:p>
        </w:tc>
        <w:tc>
          <w:tcPr>
            <w:tcW w:w="16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The increase in 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in 2025 mainly relates to grants and modifications of equity instruments issued to members of key management personnel in connection with the Series C financing and the planned business combination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disclosed above represent expenses recognized in profit or loss during the reporting period in respect of key management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aggregate defined benefit obligation for individuals who hold or have held executive positions during the reporting period:</w:t>
      </w:r>
    </w:p>
    <w:tbl>
      <w:tblPr>
        <w:tblW w:w="7195" w:type="dxa"/>
        <w:jc w:val="left"/>
        <w:tblInd w:w="0" w:type="dxa"/>
        <w:tblLayout w:type="fixed"/>
        <w:tblCellMar>
          <w:top w:w="0" w:type="dxa"/>
          <w:left w:w="0" w:type="dxa"/>
          <w:bottom w:w="0" w:type="dxa"/>
          <w:right w:w="0" w:type="dxa"/>
        </w:tblCellMar>
      </w:tblPr>
      <w:tblGrid>
        <w:gridCol w:w="3586"/>
        <w:gridCol w:w="146"/>
        <w:gridCol w:w="1636"/>
        <w:gridCol w:w="146"/>
        <w:gridCol w:w="1681"/>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defined benefit obligation</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 Commitments with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committed to issue contingent consideration shares in connection with the acquisition of Aeponyx to former owners of Aeponyx, who became members of key management personnel following the acquisition. See Note 17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29. Off-balance-sheet commitments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29.1. Commitments given</w:t>
      </w:r>
    </w:p>
    <w:tbl>
      <w:tblPr>
        <w:tblW w:w="10205" w:type="dxa"/>
        <w:jc w:val="left"/>
        <w:tblInd w:w="0" w:type="dxa"/>
        <w:tblLayout w:type="fixed"/>
        <w:tblCellMar>
          <w:top w:w="0" w:type="dxa"/>
          <w:left w:w="0" w:type="dxa"/>
          <w:bottom w:w="0" w:type="dxa"/>
          <w:right w:w="0" w:type="dxa"/>
        </w:tblCellMar>
      </w:tblPr>
      <w:tblGrid>
        <w:gridCol w:w="6620"/>
        <w:gridCol w:w="146"/>
        <w:gridCol w:w="1623"/>
        <w:gridCol w:w="146"/>
        <w:gridCol w:w="1670"/>
      </w:tblGrid>
      <w:tr>
        <w:trPr/>
        <w:tc>
          <w:tcPr>
            <w:tcW w:w="66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Guarantees and collateral granted in connection with financing arrangements(a)</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22,089</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10,035</w:t>
            </w:r>
          </w:p>
        </w:tc>
      </w:tr>
      <w:tr>
        <w:trPr/>
        <w:tc>
          <w:tcPr>
            <w:tcW w:w="66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given(b)</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21,218</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20,855</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43,307</w:t>
            </w:r>
          </w:p>
        </w:tc>
        <w:tc>
          <w:tcPr>
            <w:tcW w:w="146" w:type="dxa"/>
            <w:tcBorders/>
            <w:shd w:fill="CCEEFF" w:val="clear"/>
            <w:vAlign w:val="bottom"/>
          </w:tcPr>
          <w:p>
            <w:pPr>
              <w:pStyle w:val="TableContents"/>
              <w:bidi w:val="0"/>
              <w:spacing w:before="0" w:after="283"/>
              <w:jc w:val="left"/>
              <w:rPr/>
            </w:pPr>
            <w:r>
              <w:rPr/>
              <w:t> </w:t>
            </w:r>
          </w:p>
        </w:tc>
        <w:tc>
          <w:tcPr>
            <w:tcW w:w="16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30,890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      Guarantees and collateral granted in connection with financing arrangements</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 xml:space="preserve">a joint guarantee granted by Pasqal SAS to Investissement Québec in connection with the CAD 15,000 thousand loan entered into by Pasqal Canada; </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in connection with the USD 15,000 thousand loan entered into by Pasqal USA with the Illinois Finance Authority;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chattel mortgage granted by Pasqal Canada in connection with the Investissement Québec loan for CAD 15,000 thousand.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     Other commitments given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commitment granted to BDC Capital Inc. in connection with the Aeponyx promissory note amounting to CAD 3,000 thousand (approximately €1,863 thousand) as of December 31, 2025;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commitments and guarantees entered into in connection with strategic commercial agreements, notably the first demand bank guarantee issued in relation to the contract with Saudi Arabian Oil Company (“Aramco”), amounting to 9,189 thousand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 Commitments received</w:t>
      </w:r>
    </w:p>
    <w:tbl>
      <w:tblPr>
        <w:tblW w:w="7900" w:type="dxa"/>
        <w:jc w:val="left"/>
        <w:tblInd w:w="0" w:type="dxa"/>
        <w:tblLayout w:type="fixed"/>
        <w:tblCellMar>
          <w:top w:w="0" w:type="dxa"/>
          <w:left w:w="0" w:type="dxa"/>
          <w:bottom w:w="0" w:type="dxa"/>
          <w:right w:w="0" w:type="dxa"/>
        </w:tblCellMar>
      </w:tblPr>
      <w:tblGrid>
        <w:gridCol w:w="4291"/>
        <w:gridCol w:w="146"/>
        <w:gridCol w:w="1636"/>
        <w:gridCol w:w="146"/>
        <w:gridCol w:w="1681"/>
      </w:tblGrid>
      <w:tr>
        <w:trPr/>
        <w:tc>
          <w:tcPr>
            <w:tcW w:w="4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Investissement Québec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6,029</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14,314</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Illinois Finance Authority facility</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Korean government grant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24,868</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access to an undrawn credit facility with Investissement Québec amounting to CAD 9,704 thousand, out of a total available facility of CAD 15,000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benefits from a financing arrangement with the Illinois Finance Authority totaling USD 15,000 thousand, of which USD 6,000 thousand had been drawn as of December 31, 2025, leaving USD 9,000 thousand available for future drawdown.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€2,832 thousand had been received as of December 31, 2025 and recognized as deferred income (see Notes 2.1.5 and 15). The undrawn portion remains available subject to the Group’s continued compliance with the conditions of the agreement, including committed investment expenditures, employment targets and use of funds for eligible cost categories.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30. Changes in net working capital related to operating activities</w:t>
      </w:r>
    </w:p>
    <w:tbl>
      <w:tblPr>
        <w:tblW w:w="10205" w:type="dxa"/>
        <w:jc w:val="left"/>
        <w:tblInd w:w="0" w:type="dxa"/>
        <w:tblLayout w:type="fixed"/>
        <w:tblCellMar>
          <w:top w:w="0" w:type="dxa"/>
          <w:left w:w="0" w:type="dxa"/>
          <w:bottom w:w="0" w:type="dxa"/>
          <w:right w:w="0" w:type="dxa"/>
        </w:tblCellMar>
      </w:tblPr>
      <w:tblGrid>
        <w:gridCol w:w="6609"/>
        <w:gridCol w:w="146"/>
        <w:gridCol w:w="1298"/>
        <w:gridCol w:w="330"/>
        <w:gridCol w:w="146"/>
        <w:gridCol w:w="1285"/>
        <w:gridCol w:w="391"/>
      </w:tblGrid>
      <w:tr>
        <w:trPr/>
        <w:tc>
          <w:tcPr>
            <w:tcW w:w="66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net loss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PPE, amortization of intangible assets and impairments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Equity-settled share-based payments &amp; other personnel expense(1)</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2,353</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and losses on disposal of assets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 non-cash items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 non-cash items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Includes equity-settled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for €9,475 thousand (€1,970 thousand in 2024) and expense relating to post-combination</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in relation with the MCF acquisition for €191 thousand (€383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 is disclosed below:</w:t>
      </w:r>
    </w:p>
    <w:tbl>
      <w:tblPr>
        <w:tblW w:w="8858" w:type="dxa"/>
        <w:jc w:val="left"/>
        <w:tblInd w:w="0" w:type="dxa"/>
        <w:tblLayout w:type="fixed"/>
        <w:tblCellMar>
          <w:top w:w="0" w:type="dxa"/>
          <w:left w:w="0" w:type="dxa"/>
          <w:bottom w:w="0" w:type="dxa"/>
          <w:right w:w="0" w:type="dxa"/>
        </w:tblCellMar>
      </w:tblPr>
      <w:tblGrid>
        <w:gridCol w:w="5251"/>
        <w:gridCol w:w="146"/>
        <w:gridCol w:w="1294"/>
        <w:gridCol w:w="341"/>
        <w:gridCol w:w="146"/>
        <w:gridCol w:w="1248"/>
        <w:gridCol w:w="432"/>
      </w:tblGrid>
      <w:tr>
        <w:trPr/>
        <w:tc>
          <w:tcPr>
            <w:tcW w:w="5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 in operating working capital</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14,336</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2,037</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networking capital for operating activities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inventories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receivables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w:t>
            </w:r>
          </w:p>
        </w:tc>
        <w:tc>
          <w:tcPr>
            <w:tcW w:w="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receivables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3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payables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3,835</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contract liabilities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liabilities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31. Events after the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events occurred after the reporting date and do not provide evidence of conditions that existed as of December 31, 2025. Accordingly, they have not been reflected in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technical milestone underlying the issuance of 55,384 Milestone Shares in connection with the Aeponyx acquisition was successfully achieved. As a result, the issuance of these shares is expected to occur prior to the contractual deadline of August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event will be reflected in the Group’s consolidated financial statements for the year ending December 31, 2026. See Notes 17, 18 and 33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Group entered into a Business Combination Agreement with a special purpose acquisition company (“SPAC”), pursuant to which the Group is expected to become a publicly listed company upon completion of the transaction, subject to the satisfaction of customary closing conditions, regulatory approvals and approval by the SPAC shareholders. As part of this agreement, Pasqal shareholders will receive shares in the combined entity based on an exchange ratio established by reference to the relative equity values of the two parties at the time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Agreement had not been completed as of December 31, 2025, and does not affect the consolidated financial statements for the year then 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 Group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Group initiated a legal and operational reorganization project intended to evolve its organizational structure and ownership framework in connection with its anticipated business combination.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project was formalized through agreements entered into on February 28, 2026. It provides, in particular, for the establishment of a holding company, Pasqal Holding SAS, intended to become the parent company of the Group, as well as the reorganization of certain activities within dedicated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implementation of this reorganization, Wasiq Bokhari was appointed President of Pasqal Holding SAS and Loic Henriet managing director of Pasqal Holding SAS. As a result, following completion of the reorganization, Pasqal Holding SAS is expected to assume overall governance and strategic oversight of the Group.</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 and operational implementation of the reorganization is expected to occur during the first half of 2026 and will involve intragroup transactions, including capital restructuring steps.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this reorganization, the Aeponyx documentation has been updated to enable the exchange of Aeponyx shares against Pasqal Holding SAS shares instead of Pasqal SAS shares.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these events occurred after the reporting date and do not affect the existence of control as of December 31, 2025, they have no impact on the consolidated financial statements for the year then ended. However, had this transaction been completed prior to the issuance of these financial statements, they would have impacted the potential fully diluted number of shares. The accounting effects of the reorganization will be reflected in the consolidated financial statements of the periods in which the relevant transactions are legally completed.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continuation of the capital increase program initiated in December 2025, the Group proceeded with additional subscriptions of Series C Shares during January and February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499,769 Series C Shares were issued over this period, generating proceeds of €69,738 thousand. Following these Series C issuances, and upon completion of the Qualified Equity Financing as contractually defined in the ORA agreements, the ORAs were automatically redeemed in Series C Shares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this redemption, a total of 682,448 Series C Shares were issued to ORA holders on March 2, 2026. The ORAs were derecognized upon conversion into equity instruments, with the corresponding amount reclassified from financial liabilities to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in connection with the planned Business Combination, Bleichroeder and Merger Sub entered into a securities purchase agreement with certain investors (the “March 2026 Financing,” previously referred to herein as the “Pre-PIPE”), pursuant to which such investors agreed, subject to customary closing conditions, to purchase a minimum aggregate subscription amount of $250.0 million of New Pasqal Convertible Bonds and to receive warrants to subscribe for a number of New Pasqal ordinary shares equal to 125% of the shares into which the New Pasqal Convertible Bonds are initially convertible, at an exercise price of $12.00 per share (the “Investment Warrants”), for an aggregate purchase price of $200.0 million, reflecting a 20% original issue discount. The New Pasqal Convertible Bonds will bear interest at 10% per annum payable in cash or 12% per annum payable in kind and will be convertible into New Pasqal ordinary shares at $12.00 per share. Moreover, on May 23, 2026, the Supervisory Committee acknowledged an increase in the investment under the SPA Pre-Pipe framework by an amount of up to USD 50 million in accordance with the existing contractual provisions of the SPA Pre-Pipe agreement. This event constitutes a non-adjusting subsequent event.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 Geopolitical and macroeconomic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Group has operations in Saudi Arabia and holds current assets located in the region with a carrying amount of €694 thousand as of December 31, 2025, it has not identified any material impact on its consolidated financial statements as of the reporting date, whether arising directly from its presence in the country or indirectly from the escalation of the conflict in February 2026, which may have broader implications for global economic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the Group continues to closely monitor developments in the region and remains prepared to take all appropriate measures necessary to mitigate any potential impact of the conflict on its financial position, financial performance and financial outlook.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reporting date, the Group estimates that its future commercial backlog in the region amounts to approximately €16,658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32. 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December 31, 2025, the Group’s scope of consolidation includes the following subsidiaries:</w:t>
      </w:r>
    </w:p>
    <w:tbl>
      <w:tblPr>
        <w:tblW w:w="10205" w:type="dxa"/>
        <w:jc w:val="left"/>
        <w:tblInd w:w="0" w:type="dxa"/>
        <w:tblLayout w:type="fixed"/>
        <w:tblCellMar>
          <w:top w:w="0" w:type="dxa"/>
          <w:left w:w="0" w:type="dxa"/>
          <w:bottom w:w="0" w:type="dxa"/>
          <w:right w:w="0" w:type="dxa"/>
        </w:tblCellMar>
      </w:tblPr>
      <w:tblGrid>
        <w:gridCol w:w="2637"/>
        <w:gridCol w:w="146"/>
        <w:gridCol w:w="1633"/>
        <w:gridCol w:w="146"/>
        <w:gridCol w:w="976"/>
        <w:gridCol w:w="146"/>
        <w:gridCol w:w="1603"/>
        <w:gridCol w:w="146"/>
        <w:gridCol w:w="976"/>
        <w:gridCol w:w="146"/>
        <w:gridCol w:w="1650"/>
      </w:tblGrid>
      <w:tr>
        <w:trPr/>
        <w:tc>
          <w:tcPr>
            <w:tcW w:w="2637"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Entities</w:t>
            </w:r>
          </w:p>
        </w:tc>
        <w:tc>
          <w:tcPr>
            <w:tcW w:w="146" w:type="dxa"/>
            <w:vMerge w:val="restart"/>
            <w:tcBorders/>
            <w:vAlign w:val="bottom"/>
          </w:tcPr>
          <w:p>
            <w:pPr>
              <w:pStyle w:val="TableContents"/>
              <w:bidi w:val="0"/>
              <w:spacing w:before="0" w:after="283"/>
              <w:jc w:val="left"/>
              <w:rPr/>
            </w:pPr>
            <w:r>
              <w:rPr/>
              <w:t> </w:t>
            </w:r>
          </w:p>
        </w:tc>
        <w:tc>
          <w:tcPr>
            <w:tcW w:w="163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Geographical </w:t>
              <w:br/>
              <w:t>area</w:t>
            </w:r>
          </w:p>
        </w:tc>
        <w:tc>
          <w:tcPr>
            <w:tcW w:w="146" w:type="dxa"/>
            <w:vMerge w:val="restart"/>
            <w:tcBorders/>
            <w:vAlign w:val="bottom"/>
          </w:tcPr>
          <w:p>
            <w:pPr>
              <w:pStyle w:val="TableContents"/>
              <w:bidi w:val="0"/>
              <w:spacing w:before="0" w:after="283"/>
              <w:jc w:val="left"/>
              <w:rPr/>
            </w:pPr>
            <w:r>
              <w:rPr/>
              <w:t> </w:t>
            </w:r>
          </w:p>
        </w:tc>
        <w:tc>
          <w:tcPr>
            <w:tcW w:w="272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77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3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0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5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Saudi Arabia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Arabia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Canada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Aeponyx Entreprises Inc.</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Photonic Integrated Circuits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Korea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USA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QuandCo Solutions GmbH(3)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Japan(3)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Netherlands(3)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Netherlands</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UK Ltd(3)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(1)      Fully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(2)      Non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See Note 2.1.1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33. Revision to prior period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these consolidated financial statements for the year ended December 31, 2025, the Group identified a revision which impacts the consolidated financial statements for the year ended December 31, 2024 related to the measurement of the consideration transferred in connection with the acquisition of Aeponyx Inc. (“Aeponyx”), completed on July 29,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acquisition date, the consideration transferred, consisting of fixed and contingent Pasqal shares to be issued, had initially been measured based on the undiscounted implied value of the shares to be issued rather than at fair value, as required by IFRS 3 “Business Combinations” and IFRS 13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goodwill and the related financial liability were overstated by €767 thousand at the acquisition date. In addition, the subsequent remeasurement of the financial liability recognized in profit or loss for the year ended December 31, 2024 was understated by €180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Applying the SEC Staff Accounting Bulletin No. 99, “Materiality”, the Group determined that these revisions were not material to the previously issued FY2024 financial statements individually or in the aggregate, but that it was appropriate to revise the comparative information included in the 2025 Form F-4 (including the December 31, 2024 balance sheet, statements of changes in equity and statement of profit or loss). We have revised the consolidated statement of financial position, consolidated statement of changes in equity and consolidated statement of profit or loss, Note 7, Note 17 and Note 18 as of December 31, 2024. These revisions had no effect on other comprehensive income or our statement of cash flows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financial position as of December 31, 2024</w:t>
      </w:r>
    </w:p>
    <w:tbl>
      <w:tblPr>
        <w:tblW w:w="7877" w:type="dxa"/>
        <w:jc w:val="left"/>
        <w:tblInd w:w="0" w:type="dxa"/>
        <w:tblLayout w:type="fixed"/>
        <w:tblCellMar>
          <w:top w:w="0" w:type="dxa"/>
          <w:left w:w="0" w:type="dxa"/>
          <w:bottom w:w="0" w:type="dxa"/>
          <w:right w:w="0" w:type="dxa"/>
        </w:tblCellMar>
      </w:tblPr>
      <w:tblGrid>
        <w:gridCol w:w="3076"/>
        <w:gridCol w:w="146"/>
        <w:gridCol w:w="1330"/>
        <w:gridCol w:w="260"/>
        <w:gridCol w:w="146"/>
        <w:gridCol w:w="1049"/>
        <w:gridCol w:w="422"/>
        <w:gridCol w:w="146"/>
        <w:gridCol w:w="1051"/>
        <w:gridCol w:w="251"/>
      </w:tblGrid>
      <w:tr>
        <w:trPr/>
        <w:tc>
          <w:tcPr>
            <w:tcW w:w="3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20,800</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87,062</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86,294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126,774</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45,341</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44,754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93,920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(587</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93,333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(48,318</w:t>
            </w:r>
          </w:p>
        </w:tc>
        <w:tc>
          <w:tcPr>
            <w:tcW w:w="26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13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32,853</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profit or loss for the year ended December 31, 2024</w:t>
      </w:r>
    </w:p>
    <w:tbl>
      <w:tblPr>
        <w:tblW w:w="10162" w:type="dxa"/>
        <w:jc w:val="left"/>
        <w:tblInd w:w="0" w:type="dxa"/>
        <w:tblLayout w:type="fixed"/>
        <w:tblCellMar>
          <w:top w:w="0" w:type="dxa"/>
          <w:left w:w="0" w:type="dxa"/>
          <w:bottom w:w="0" w:type="dxa"/>
          <w:right w:w="0" w:type="dxa"/>
        </w:tblCellMar>
      </w:tblPr>
      <w:tblGrid>
        <w:gridCol w:w="5356"/>
        <w:gridCol w:w="146"/>
        <w:gridCol w:w="1268"/>
        <w:gridCol w:w="322"/>
        <w:gridCol w:w="146"/>
        <w:gridCol w:w="1060"/>
        <w:gridCol w:w="411"/>
        <w:gridCol w:w="146"/>
        <w:gridCol w:w="1006"/>
        <w:gridCol w:w="301"/>
      </w:tblGrid>
      <w:tr>
        <w:trPr/>
        <w:tc>
          <w:tcPr>
            <w:tcW w:w="5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FVTPL(1)</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(48,665</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(48,318</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Represents the revision related to the fair value of the consideration transferred in connection with the acquisition of Aeponyx (see Notes 7.1, 17 and 18).</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287</Pages>
  <Words>169860</Words>
  <Characters>942832</Characters>
  <CharactersWithSpaces>1119427</CharactersWithSpaces>
  <Paragraphs>21821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