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302948-425_bleichro2.htm"/>
      <w:bookmarkStart w:id="1" w:name="ksea0302948425_bleichro2"/>
      <w:bookmarkEnd w:id="0"/>
      <w:bookmarkEnd w:id="1"/>
      <w:r>
        <w:rPr>
          <w:b/>
        </w:rPr>
        <w:t>Filed by Bleichroeder Acquisition France Merger Sub 2 pursuant to Rule 425</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 as amended,</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Pasqal Holding SAS (File No. 333-296239-01)</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Bleichroeder Acquisition Corp.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rPr>
            </w:pPr>
            <w:r>
              <w:rPr>
                <w:b/>
              </w:rPr>
              <w:t>001-43045</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r>
              <w:rPr>
                <w:b/>
              </w:rPr>
              <w:t>98-1888010</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 Fl 47</w:t>
        <w:br/>
        <w:t>New York, NY 10105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212-984-3835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90"/>
        <w:gridCol w:w="60"/>
        <w:gridCol w:w="1380"/>
        <w:gridCol w:w="60"/>
        <w:gridCol w:w="2615"/>
      </w:tblGrid>
      <w:tr>
        <w:trPr/>
        <w:tc>
          <w:tcPr>
            <w:tcW w:w="609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80"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90" w:type="dxa"/>
            <w:tcBorders/>
            <w:shd w:fill="CCEEFF" w:val="clear"/>
            <w:tcMar>
              <w:bottom w:w="0" w:type="dxa"/>
            </w:tcMar>
            <w:vAlign w:val="center"/>
          </w:tcPr>
          <w:p>
            <w:pPr>
              <w:pStyle w:val="TableContents"/>
              <w:bidi w:val="0"/>
              <w:spacing w:before="0" w:after="283"/>
              <w:jc w:val="center"/>
              <w:rPr/>
            </w:pPr>
            <w:r>
              <w:rPr/>
              <w:t>Units, each consisting of one Class A ordinary share and one-third of one redeemable warrant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80" w:type="dxa"/>
            <w:tcBorders/>
            <w:shd w:fill="CCEEFF" w:val="clear"/>
            <w:tcMar>
              <w:bottom w:w="0" w:type="dxa"/>
            </w:tcMar>
            <w:vAlign w:val="center"/>
          </w:tcPr>
          <w:p>
            <w:pPr>
              <w:pStyle w:val="TableContents"/>
              <w:bidi w:val="0"/>
              <w:spacing w:before="0" w:after="283"/>
              <w:jc w:val="center"/>
              <w:rPr/>
            </w:pPr>
            <w:r>
              <w:rPr/>
              <w:t>BBCQU</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15" w:type="dxa"/>
            <w:tcBorders/>
            <w:shd w:fill="CCEEFF" w:val="clear"/>
            <w:tcMar>
              <w:bottom w:w="0" w:type="dxa"/>
            </w:tcMar>
            <w:vAlign w:val="center"/>
          </w:tcPr>
          <w:p>
            <w:pPr>
              <w:pStyle w:val="TableContents"/>
              <w:bidi w:val="0"/>
              <w:spacing w:before="0" w:after="283"/>
              <w:jc w:val="center"/>
              <w:rPr/>
            </w:pPr>
            <w:r>
              <w:rPr/>
              <w:t>The Nasdaq Stock Market LLC</w:t>
            </w:r>
          </w:p>
        </w:tc>
      </w:tr>
      <w:tr>
        <w:trPr/>
        <w:tc>
          <w:tcPr>
            <w:tcW w:w="6090" w:type="dxa"/>
            <w:tcBorders/>
            <w:shd w:fill="FFFFFF" w:val="clear"/>
            <w:tcMar>
              <w:bottom w:w="0" w:type="dxa"/>
            </w:tcMar>
            <w:vAlign w:val="center"/>
          </w:tcPr>
          <w:p>
            <w:pPr>
              <w:pStyle w:val="TableContents"/>
              <w:bidi w:val="0"/>
              <w:spacing w:before="0" w:after="283"/>
              <w:jc w:val="center"/>
              <w:rPr/>
            </w:pPr>
            <w:r>
              <w:rPr/>
              <w:t>Class A ordinary shares,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80" w:type="dxa"/>
            <w:tcBorders/>
            <w:shd w:fill="FFFFFF" w:val="clear"/>
            <w:tcMar>
              <w:bottom w:w="0" w:type="dxa"/>
            </w:tcMar>
            <w:vAlign w:val="center"/>
          </w:tcPr>
          <w:p>
            <w:pPr>
              <w:pStyle w:val="TableContents"/>
              <w:bidi w:val="0"/>
              <w:spacing w:before="0" w:after="283"/>
              <w:jc w:val="center"/>
              <w:rPr/>
            </w:pPr>
            <w:r>
              <w:rPr/>
              <w:t>BBCQ</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15" w:type="dxa"/>
            <w:tcBorders/>
            <w:shd w:fill="FFFFFF" w:val="clear"/>
            <w:tcMar>
              <w:bottom w:w="0" w:type="dxa"/>
            </w:tcMar>
            <w:vAlign w:val="center"/>
          </w:tcPr>
          <w:p>
            <w:pPr>
              <w:pStyle w:val="TableContents"/>
              <w:bidi w:val="0"/>
              <w:spacing w:before="0" w:after="283"/>
              <w:jc w:val="center"/>
              <w:rPr/>
            </w:pPr>
            <w:r>
              <w:rPr/>
              <w:t>The Nasdaq Stock Market LLC</w:t>
            </w:r>
          </w:p>
        </w:tc>
      </w:tr>
      <w:tr>
        <w:trPr/>
        <w:tc>
          <w:tcPr>
            <w:tcW w:w="6090" w:type="dxa"/>
            <w:tcBorders/>
            <w:shd w:fill="CCEEFF" w:val="clear"/>
            <w:tcMar>
              <w:bottom w:w="0" w:type="dxa"/>
            </w:tcMar>
            <w:vAlign w:val="center"/>
          </w:tcPr>
          <w:p>
            <w:pPr>
              <w:pStyle w:val="TableContents"/>
              <w:bidi w:val="0"/>
              <w:spacing w:before="0" w:after="283"/>
              <w:jc w:val="center"/>
              <w:rPr/>
            </w:pPr>
            <w:r>
              <w:rPr/>
              <w:t>Redeemable warrants, each whole warrant exercisable for one Class A ordinary share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80" w:type="dxa"/>
            <w:tcBorders/>
            <w:shd w:fill="CCEEFF" w:val="clear"/>
            <w:tcMar>
              <w:bottom w:w="0" w:type="dxa"/>
            </w:tcMar>
            <w:vAlign w:val="center"/>
          </w:tcPr>
          <w:p>
            <w:pPr>
              <w:pStyle w:val="TableContents"/>
              <w:bidi w:val="0"/>
              <w:spacing w:before="0" w:after="283"/>
              <w:jc w:val="center"/>
              <w:rPr/>
            </w:pPr>
            <w:r>
              <w:rPr/>
              <w:t>BBCQW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15"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Bleichroeder Acquisition Corp. II,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joint press release with Pasqal Holding SAS announcing a reminder that the Company will host the extraordinary general meeting of its shareholders on August 25, 2026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to vote on the approval and adoption of the business combination with Pasqal Holding SAS. The Company’s shareholders of record as of the close of business on August 5, 2026, are entitled to attend and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under Item 8.01, including Exhibit 99.1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statements that are not historical facts but may be considered “forward-looking statements” within the meaning of Section 27A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Section 21E of the Exchange Act. Forward-looking statements generally are accompanied by words such as “believe,” “may,” “might,” “will,” “estimate,” “continue,” “anticipate,” “intend,” “expect,” “should,” “would,” “could,” “plan,” “predict,” “project,” “forecast,” “potential,” “seem,” “seek,” “target,” “possible,” “future,” “outlook” or the negatives of these terms or variations of them or similar terminology or expressions that predict or indicate future events or trends or that are not statements of historical matters. These forward-looking statements include, but are not limited to, statements regarding future events, the proposed Business Combination between Bleichroeder and Pasqal, and other statements that are not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current expectations of Bleichroeder and/or Pasqal’s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Bleichroeder and Pasqal. These forward-looking statements are subject to a number of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uncertainty or changes with respect to taxes, trade conditions and the macroeconomic environment; the inability of the parties to consummate the Business Combination or the occurrence of any event, change or other circumstances that could give rise to the termination of the Business Combination Agreement entered into in connection to the Business Combination, including failure by Bleichroeder or Pasqal to receive their respective shareholder approval or required regulatory approvals of the Business Combination; the number of redemption requests made by Bleichroeder’s shareholders in connection with the Business Combination, leaving the combined company with insufficient cash to execute its business plans; the outcome of any legal proceedings or governmental investigations that may be instituted against the parties following the announcement of the Business Combination; failure to realize the anticipated benefits of the Business Combination, including as a result of a delay in consummating the potential transaction; the risk that the Business Combination disrupts Pasqal’s current plans and operations as a result of the announcement and consummation of the Business Combination; the risks related to Pasqal meeting expected business milestones; the effects of competition on Pasqal’s business; the ability of the combined company to execute its growth strategy, manage growth profitably and retain its key employees; the ability of the combined company to obtain or maintain the listing of its securities on a U.S. national securities exchange following the Business Combination; the ability to achieve dual listing on Euronext N.V. Paris following the Business Combination; costs related to the Business Combination; the ability of Bleichroeder or the combined company to raise capital or issue debt, equity or equity-linked securities in connection with the proposed Business Combination or in the future on reasonable terms or at all; the combined company’s ability to maintain internal control over financial reporting and operate as a public company; the risk from Pasqal pursuing an emerging technology, facing significant technical challenges and the potential that it may not achieve commercialization or market acceptance; Pasqal’s financial performance and limited operating history; Pasqal’s expectations regarding future financial performance, capital requirements and unit economics; Pasqal’s use and reporting of business and operational metrics; Pasqal’s competitive landscape; Pasqal’s dependence on members of its senior management and its ability to attract and retain qualified personnel; Pasqal’s potential need for additional future financing prior to or after the Business Combination as a combined company; Pasqal’s concentration of revenue in contracts with government or state-funded entities; Pasqal’s ability to manage growth and expand its operations; potential future acquisitions or investments in companies, products, services or technologies; Pasqal’s reliance on strategic partners and other third parties; Pasqal’s ability to maintain, protect and defend its intellectual property rights; risks associated with privacy, data protection or cybersecurity incidents and related regulations; the use, rate of adoption and regulation of artificial intelligence and machine learning; and other risks that will be detailed from time to time in filings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foregoing list of risk factors is not exhaustive. There may be additional risks that Pasqal and Bleichroeder presently do not know or that Pasqal and Bleichroeder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Pasqal and Bleichroeder anticipate that subsequent events and developments will cause their assessments to change. However, while Pasqal and/or Bleichroeder may elect to update these forward-looking statements in the future, Pasqal and Bleichroeder specifically disclaim any obligation to do so. These forward-looking statements should not be relied upon as representing Pasqal’s or Bleichroeder’s assessments as of any date subsequent to the date of this communication. Accordingly, undue reliance should not be placed upon the forward-looking statements. Nothing herein should be regarded as a representation by any person that the forward-looking statements set forth herein will be achieved or results of such forward-looking statements will be achieved. An investment in Bleichroeder is not an investment in any of its founders’ or sponsors’ past investments, companies or affiliated funds. The historical results of those investments are not indicative of future performance of Bleichroeder, which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will be submitted to shareholders of Bleichroeder for their consideration. In connection with the Business Combination, Bleichroeder, Bleichroeder Acquisition France Merger Sub 2, a </w:t>
      </w:r>
      <w:r>
        <w:rPr>
          <w:rFonts w:ascii="Times New Roman;Times;Serif" w:hAnsi="Times New Roman;Times;Serif"/>
          <w:b w:val="false"/>
          <w:i/>
          <w:caps w:val="false"/>
          <w:smallCaps w:val="false"/>
          <w:sz w:val="20"/>
        </w:rPr>
        <w:t xml:space="preserve">société anonyme </w:t>
      </w:r>
      <w:r>
        <w:rPr>
          <w:rFonts w:ascii="Times New Roman;Times;Serif" w:hAnsi="Times New Roman;Times;Serif"/>
          <w:b w:val="false"/>
          <w:i w:val="false"/>
          <w:caps w:val="false"/>
          <w:smallCaps w:val="false"/>
          <w:sz w:val="20"/>
        </w:rPr>
        <w:t>formed under the laws of the Republic of France and Pasqal jointly filed the Registration Statement with the SEC, which was declared effective by the SEC on August 5, 2026, and which includes a definitive proxy statement/prospectus, and any corresponding supplements filed with the SEC. The definitive proxy statement/prospectus, including any supplements thereto,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including any supplements thereto, or any other document that Bleichroeder has sent to its shareholders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WHEN AVAILABLE, THE REGISTRATION STATEMENT, PROXY STATEMENT/PROSPECTUS AND ANY OTHER RELEVANT DOCUMENTS AND, IN EACH CASE, ANY AMENDMENTS THERETO FILED WITH THE SEC CAREFULLY AND IN THEIR ENTIRETY IF AND WHEN THEY BECOME AVAILABLE BECAUSE THEY WILL CONTAIN IMPORTANT INFORMATION ABOUT THE BUSINESS COMBINATION, RELATED TRANSACTIONS AND THE PARTIES TO THE BUSINESS COMBINATION. Shareholders of Bleichroeder will be able to obtain copies of these documents (when available) and other documents filed with the SEC free of charge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and its directors, executive officers, and other members of management, and consultants, under SEC rules, may be deemed participants in the solicitation of proxies from Bleichroeder’s shareholders with respect to the Business Combination. A list of the names of those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and each of which is available free of charge at the SEC’s website at www.sec.gov. Additional information regarding the interests of participants in the proxy solicitation and their direct and indirect interests will be contained in the Registration Statement and the proxy statement/prospectus, including any supplements thereto, when they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its directors, executive officers, other members of management, employees and consultants, under SEC rules, may be deemed participants in the solicitation of proxies of Bleichroeder’s shareholders in connection with the Business Combination. A list of the names of such directors and executive officers and information regarding their interests in the Business Combination will be included in the Registration Statement and the proxy statement/prospectus, including any supplements thereto, when they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No securities commission or securities regulatory authority in the United States or any other jurisdiction has in any way passed upon the merits of the Business Combination or the accuracy or adequacy of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Exhibits. </w:t>
      </w:r>
    </w:p>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768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685" w:type="dxa"/>
            <w:tcBorders/>
            <w:tcMar>
              <w:bottom w:w="0" w:type="dxa"/>
            </w:tcMar>
            <w:vAlign w:val="center"/>
          </w:tcPr>
          <w:p>
            <w:pPr>
              <w:pStyle w:val="TableContents"/>
              <w:bidi w:val="0"/>
              <w:spacing w:before="0" w:after="283"/>
              <w:jc w:val="both"/>
              <w:rPr/>
            </w:pPr>
            <w:r>
              <w:rPr/>
              <w:t> </w:t>
            </w:r>
          </w:p>
        </w:tc>
      </w:tr>
      <w:tr>
        <w:trPr/>
        <w:tc>
          <w:tcPr>
            <w:tcW w:w="1205"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7685" w:type="dxa"/>
            <w:tcBorders/>
            <w:shd w:fill="CCEEFF" w:val="clear"/>
            <w:tcMar>
              <w:bottom w:w="0" w:type="dxa"/>
            </w:tcMar>
            <w:vAlign w:val="center"/>
          </w:tcPr>
          <w:p>
            <w:pPr>
              <w:pStyle w:val="TableContents"/>
              <w:bidi w:val="0"/>
              <w:spacing w:before="0" w:after="283"/>
              <w:jc w:val="both"/>
              <w:rPr/>
            </w:pPr>
            <w:hyperlink r:id="rId2">
              <w:r>
                <w:rPr>
                  <w:rStyle w:val="InternetLink"/>
                </w:rPr>
                <w:t>Press Release dated August 20, 2026.</w:t>
              </w:r>
            </w:hyperlink>
          </w:p>
        </w:tc>
      </w:tr>
      <w:tr>
        <w:trPr/>
        <w:tc>
          <w:tcPr>
            <w:tcW w:w="12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7685" w:type="dxa"/>
            <w:tcBorders/>
            <w:shd w:fill="FFFFFF" w:val="clear"/>
            <w:tcMar>
              <w:bottom w:w="0" w:type="dxa"/>
            </w:tcMar>
            <w:vAlign w:val="center"/>
          </w:tcPr>
          <w:p>
            <w:pPr>
              <w:pStyle w:val="TableContents"/>
              <w:bidi w:val="0"/>
              <w:spacing w:before="0" w:after="283"/>
              <w:jc w:val="both"/>
              <w:rPr/>
            </w:pPr>
            <w:r>
              <w:rPr/>
              <w:t> </w:t>
            </w:r>
          </w:p>
        </w:tc>
      </w:tr>
      <w:tr>
        <w:trPr/>
        <w:tc>
          <w:tcPr>
            <w:tcW w:w="1205"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768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983" w:type="dxa"/>
        <w:jc w:val="left"/>
        <w:tblInd w:w="0" w:type="dxa"/>
        <w:tblLayout w:type="fixed"/>
        <w:tblCellMar>
          <w:top w:w="0" w:type="dxa"/>
          <w:left w:w="0" w:type="dxa"/>
          <w:bottom w:w="0" w:type="dxa"/>
          <w:right w:w="0" w:type="dxa"/>
        </w:tblCellMar>
      </w:tblPr>
      <w:tblGrid>
        <w:gridCol w:w="2195"/>
        <w:gridCol w:w="529"/>
        <w:gridCol w:w="1030"/>
        <w:gridCol w:w="3229"/>
      </w:tblGrid>
      <w:tr>
        <w:trPr/>
        <w:tc>
          <w:tcPr>
            <w:tcW w:w="2195" w:type="dxa"/>
            <w:tcBorders/>
            <w:vAlign w:val="center"/>
          </w:tcPr>
          <w:p>
            <w:pPr>
              <w:pStyle w:val="TableContents"/>
              <w:bidi w:val="0"/>
              <w:spacing w:before="0" w:after="283"/>
              <w:jc w:val="left"/>
              <w:rPr/>
            </w:pPr>
            <w:r>
              <w:rPr/>
              <w:t> </w:t>
            </w:r>
          </w:p>
        </w:tc>
        <w:tc>
          <w:tcPr>
            <w:tcW w:w="4788" w:type="dxa"/>
            <w:gridSpan w:val="3"/>
            <w:tcBorders/>
            <w:vAlign w:val="center"/>
          </w:tcPr>
          <w:p>
            <w:pPr>
              <w:pStyle w:val="TableContents"/>
              <w:bidi w:val="0"/>
              <w:spacing w:before="0" w:after="283"/>
              <w:jc w:val="left"/>
              <w:rPr>
                <w:b/>
              </w:rPr>
            </w:pPr>
            <w:r>
              <w:rPr>
                <w:b/>
              </w:rPr>
              <w:t>BLEICHROEDER ACQUISITION CORP. II</w:t>
            </w:r>
          </w:p>
        </w:tc>
      </w:tr>
      <w:tr>
        <w:trPr/>
        <w:tc>
          <w:tcPr>
            <w:tcW w:w="219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4259"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20, 2026</w:t>
            </w:r>
          </w:p>
        </w:tc>
        <w:tc>
          <w:tcPr>
            <w:tcW w:w="529" w:type="dxa"/>
            <w:tcBorders/>
            <w:vAlign w:val="center"/>
          </w:tcPr>
          <w:p>
            <w:pPr>
              <w:pStyle w:val="TableContents"/>
              <w:bidi w:val="0"/>
              <w:spacing w:before="0" w:after="283"/>
              <w:jc w:val="left"/>
              <w:rPr/>
            </w:pPr>
            <w:r>
              <w:rPr/>
              <w:t>By:</w:t>
            </w:r>
          </w:p>
        </w:tc>
        <w:tc>
          <w:tcPr>
            <w:tcW w:w="4259" w:type="dxa"/>
            <w:gridSpan w:val="2"/>
            <w:tcBorders>
              <w:bottom w:val="single" w:sz="12" w:space="0" w:color="000000"/>
            </w:tcBorders>
            <w:tcMar>
              <w:bottom w:w="28" w:type="dxa"/>
            </w:tcMar>
            <w:vAlign w:val="center"/>
          </w:tcPr>
          <w:p>
            <w:pPr>
              <w:pStyle w:val="TableContents"/>
              <w:bidi w:val="0"/>
              <w:spacing w:before="0" w:after="283"/>
              <w:jc w:val="left"/>
              <w:rPr/>
            </w:pPr>
            <w:r>
              <w:rPr/>
              <w:t>/s/ Robert Folino</w:t>
            </w:r>
          </w:p>
        </w:tc>
      </w:tr>
      <w:tr>
        <w:trPr/>
        <w:tc>
          <w:tcPr>
            <w:tcW w:w="219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xml:space="preserve">Name: </w:t>
            </w:r>
          </w:p>
        </w:tc>
        <w:tc>
          <w:tcPr>
            <w:tcW w:w="3229" w:type="dxa"/>
            <w:tcBorders/>
            <w:vAlign w:val="center"/>
          </w:tcPr>
          <w:p>
            <w:pPr>
              <w:pStyle w:val="TableContents"/>
              <w:bidi w:val="0"/>
              <w:spacing w:before="0" w:after="283"/>
              <w:jc w:val="left"/>
              <w:rPr/>
            </w:pPr>
            <w:r>
              <w:rPr/>
              <w:t>Robert Folino</w:t>
            </w:r>
          </w:p>
        </w:tc>
      </w:tr>
      <w:tr>
        <w:trPr/>
        <w:tc>
          <w:tcPr>
            <w:tcW w:w="219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xml:space="preserve">Title: </w:t>
            </w:r>
          </w:p>
        </w:tc>
        <w:tc>
          <w:tcPr>
            <w:tcW w:w="3229"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8295/000121390026091898/ea030283001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2356</Words>
  <Characters>13657</Characters>
  <CharactersWithSpaces>16013</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